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F497D"/>
          <w:sz w:val="30"/>
        </w:rPr>
        <w:t>CS7002NU Assessment 1 — Section C: LSEP Essay</w:t>
      </w:r>
    </w:p>
    <w:p>
      <w:pPr>
        <w:spacing w:after="240"/>
        <w:jc w:val="center"/>
      </w:pPr>
      <w:r>
        <w:rPr>
          <w:i/>
          <w:sz w:val="24"/>
        </w:rPr>
        <w:t>CCTV-Based PPE Monitoring on the Factory Floor:</w:t>
        <w:br/>
        <w:t>Legal, Social, Ethical and Professional Considerations</w:t>
      </w:r>
    </w:p>
    <w:p>
      <w:pPr>
        <w:spacing w:after="120"/>
        <w:pBdr>
          <w:bottom w:val="single" w:sz="6" w:space="1" w:color="2E74B5"/>
        </w:pBdr>
      </w:pPr>
    </w:p>
    <w:p>
      <w:pPr>
        <w:spacing w:before="240" w:after="80"/>
      </w:pPr>
      <w:r>
        <w:rPr>
          <w:b/>
          <w:color w:val="1F497D"/>
          <w:sz w:val="26"/>
        </w:rPr>
        <w:t>1. Introduction</w:t>
      </w:r>
    </w:p>
    <w:p>
      <w:pPr>
        <w:spacing w:after="120" w:before="0" w:line="280" w:lineRule="exact"/>
      </w:pPr>
      <w:r>
        <w:rPr>
          <w:sz w:val="22"/>
        </w:rPr>
        <w:t>London Building Materials Manufacturing Ltd. plans to use CCTV cameras and a computer vision (CV) system to check whether workers on the factory floor are wearing the correct PPE — helmets, hi-vis vests, and goggles. The cameras capture photos and video, and a deep learning model flags anyone not wearing the required equipment.</w:t>
      </w:r>
    </w:p>
    <w:p>
      <w:pPr>
        <w:spacing w:after="120" w:before="0" w:line="280" w:lineRule="exact"/>
      </w:pPr>
      <w:r>
        <w:rPr>
          <w:sz w:val="22"/>
        </w:rPr>
        <w:t>The safety goal is clear. But the moment a camera records a worker, four practical questions arise that determine whether the system is legal, fair, and responsible:</w:t>
      </w:r>
    </w:p>
    <w:p>
      <w:pPr>
        <w:pStyle w:val="ListBullet"/>
        <w:spacing w:after="40"/>
      </w:pPr>
      <w:r>
        <w:rPr>
          <w:sz w:val="22"/>
        </w:rPr>
        <w:t>Why are we capturing this footage?</w:t>
      </w:r>
    </w:p>
    <w:p>
      <w:pPr>
        <w:pStyle w:val="ListBullet"/>
        <w:spacing w:after="40"/>
      </w:pPr>
      <w:r>
        <w:rPr>
          <w:sz w:val="22"/>
        </w:rPr>
        <w:t>What exactly should the camera record?</w:t>
      </w:r>
    </w:p>
    <w:p>
      <w:pPr>
        <w:pStyle w:val="ListBullet"/>
        <w:spacing w:after="40"/>
      </w:pPr>
      <w:r>
        <w:rPr>
          <w:sz w:val="22"/>
        </w:rPr>
        <w:t>How should the data be stored and used?</w:t>
      </w:r>
    </w:p>
    <w:p>
      <w:pPr>
        <w:pStyle w:val="ListBullet"/>
        <w:spacing w:after="40"/>
      </w:pPr>
      <w:r>
        <w:rPr>
          <w:sz w:val="22"/>
        </w:rPr>
        <w:t>How long should we keep it?</w:t>
      </w:r>
    </w:p>
    <w:p>
      <w:pPr>
        <w:spacing w:after="120" w:before="0" w:line="280" w:lineRule="exact"/>
      </w:pPr>
      <w:r>
        <w:rPr>
          <w:sz w:val="22"/>
        </w:rPr>
        <w:t>This essay works through these questions across the legal, social, ethical, and professional dimensions — and proposes a practical balance that protects workers while meeting the company’s safety obligations.</w:t>
      </w:r>
    </w:p>
    <w:p>
      <w:pPr>
        <w:spacing w:before="240" w:after="80"/>
      </w:pPr>
      <w:r>
        <w:rPr>
          <w:b/>
          <w:color w:val="1F497D"/>
          <w:sz w:val="26"/>
        </w:rPr>
        <w:t>2. Legal Implications</w:t>
      </w:r>
    </w:p>
    <w:p>
      <w:pPr>
        <w:spacing w:after="120" w:before="0" w:line="280" w:lineRule="exact"/>
      </w:pPr>
      <w:r>
        <w:rPr>
          <w:sz w:val="22"/>
        </w:rPr>
        <w:t>The moment a camera records a worker’s face, it captures personal data under the General Data Protection Regulation (GDPR) [1]. Facial images are biometric data — the most sensitive category under the law. The UAE Personal Data Protection Law (PDPL, Federal Decree-Law No. 45 of 2021) [2] applies the same principle: recording workers requires a documented lawful basis. For PPE safety, that basis exists — but the obligations do not stop there.</w:t>
      </w:r>
    </w:p>
    <w:p>
      <w:pPr>
        <w:spacing w:after="100" w:before="0" w:line="280" w:lineRule="exact"/>
      </w:pPr>
      <w:r>
        <w:rPr>
          <w:b/>
          <w:sz w:val="22"/>
        </w:rPr>
        <w:t xml:space="preserve">Why capture? </w:t>
      </w:r>
      <w:r>
        <w:rPr>
          <w:sz w:val="22"/>
        </w:rPr>
        <w:t>The company must document the specific legal purpose: PPE compliance on active work zones only. Using the same footage to track movement, measure productivity, or monitor timekeeping is a violation of GDPR’s purpose limitation principle without separate worker consent.</w:t>
      </w:r>
    </w:p>
    <w:p>
      <w:pPr>
        <w:spacing w:after="100" w:before="0" w:line="280" w:lineRule="exact"/>
      </w:pPr>
      <w:r>
        <w:rPr>
          <w:b/>
          <w:sz w:val="22"/>
        </w:rPr>
        <w:t xml:space="preserve">What to capture? </w:t>
      </w:r>
      <w:r>
        <w:rPr>
          <w:sz w:val="22"/>
        </w:rPr>
        <w:t>GDPR’s data minimisation principle requires cameras to cover only areas where PPE is mandatory — production floor, loading bays. Break rooms, canteens, and toilets must be excluded. Where technically feasible, the system should detect PPE items only, without storing identifiable facial images.</w:t>
      </w:r>
    </w:p>
    <w:p>
      <w:pPr>
        <w:spacing w:after="100" w:before="0" w:line="280" w:lineRule="exact"/>
      </w:pPr>
      <w:r>
        <w:rPr>
          <w:b/>
          <w:sz w:val="22"/>
        </w:rPr>
        <w:t xml:space="preserve">How to capture? </w:t>
      </w:r>
      <w:r>
        <w:rPr>
          <w:sz w:val="22"/>
        </w:rPr>
        <w:t>Workers must be informed in writing before the system goes live. A Data Protection Impact Assessment (DPIA) — required under GDPR Article 35 for high-risk processing involving systematic monitoring of workers — must be completed before rollout. If the system triggers disciplinary action, workers have the right to human review of that decision. A fully automated disciplinary pipeline is not lawful under GDPR.</w:t>
      </w:r>
    </w:p>
    <w:p>
      <w:pPr>
        <w:spacing w:after="100" w:before="0" w:line="280" w:lineRule="exact"/>
      </w:pPr>
      <w:r>
        <w:rPr>
          <w:b/>
          <w:sz w:val="22"/>
        </w:rPr>
        <w:t xml:space="preserve">How long to keep it? </w:t>
      </w:r>
      <w:r>
        <w:rPr>
          <w:sz w:val="22"/>
        </w:rPr>
        <w:t>GDPR’s storage limitation principle requires footage to be retained only as long as necessary. For routine compliance checks, 30 days is a widely accepted standard. Footage linked to a safety incident may be retained for 90–180 days — but this must be documented in the DPIA and automatically enforced, not left to accumulate.</w:t>
      </w:r>
    </w:p>
    <w:p>
      <w:pPr>
        <w:spacing w:after="120" w:before="0" w:line="280" w:lineRule="exact"/>
      </w:pPr>
      <w:r>
        <w:rPr>
          <w:sz w:val="22"/>
        </w:rPr>
        <w:t>A false negative — where the model fails to detect a missing helmet and a worker is later injured — creates legal liability. The company cannot simply point to the CV system; it must demonstrate that the system was supervised and its limitations were known and managed.</w:t>
      </w:r>
    </w:p>
    <w:p>
      <w:pPr>
        <w:spacing w:before="240" w:after="80"/>
      </w:pPr>
      <w:r>
        <w:rPr>
          <w:b/>
          <w:color w:val="1F497D"/>
          <w:sz w:val="26"/>
        </w:rPr>
        <w:t>3. Social Implications: How Monitoring Affects Employees</w:t>
      </w:r>
    </w:p>
    <w:p>
      <w:pPr>
        <w:spacing w:after="100" w:before="0" w:line="280" w:lineRule="exact"/>
      </w:pPr>
      <w:r>
        <w:rPr>
          <w:b/>
          <w:sz w:val="22"/>
        </w:rPr>
        <w:t xml:space="preserve">Performance. </w:t>
      </w:r>
      <w:r>
        <w:rPr>
          <w:sz w:val="22"/>
        </w:rPr>
        <w:t>Workers who feel constantly watched often become anxious and risk-averse. They may slow down or avoid certain tasks they think the camera will misread. This is the chilling effect — a well-documented consequence of continuous workplace surveillance. The system is meant to improve safety; if it raises stress and reduces performance, it has created new risks instead of reducing them.</w:t>
      </w:r>
    </w:p>
    <w:p>
      <w:pPr>
        <w:spacing w:after="100" w:before="0" w:line="280" w:lineRule="exact"/>
      </w:pPr>
      <w:r>
        <w:rPr>
          <w:b/>
          <w:sz w:val="22"/>
        </w:rPr>
        <w:t xml:space="preserve">Safety culture. </w:t>
      </w:r>
      <w:r>
        <w:rPr>
          <w:sz w:val="22"/>
        </w:rPr>
        <w:t>There is a meaningful difference between workers who wear PPE because they understand why it matters, and those who wear it only because a camera is watching. The second group will stop complying the moment surveillance lapses. A camera system that replaces safety culture rather than reinforcing it is fragile. Workers should be involved in shaping how the system is used — they often know where the real compliance problems are and why they occur.</w:t>
      </w:r>
    </w:p>
    <w:p>
      <w:pPr>
        <w:spacing w:after="100" w:before="0" w:line="280" w:lineRule="exact"/>
      </w:pPr>
      <w:r>
        <w:rPr>
          <w:b/>
          <w:sz w:val="22"/>
        </w:rPr>
        <w:t xml:space="preserve">Trust and morale. </w:t>
      </w:r>
      <w:r>
        <w:rPr>
          <w:sz w:val="22"/>
        </w:rPr>
        <w:t>Deploying a monitoring system without prior consultation damages trust, regardless of intent. Workers who feel watched but not heard will view the system as punitive. Involving worker representatives and safety committees in the design process produces better outcomes and reduces resistance.</w:t>
      </w:r>
    </w:p>
    <w:p>
      <w:pPr>
        <w:spacing w:after="100" w:before="0" w:line="280" w:lineRule="exact"/>
      </w:pPr>
      <w:r>
        <w:rPr>
          <w:b/>
          <w:sz w:val="22"/>
        </w:rPr>
        <w:t xml:space="preserve">Surveillance creep. </w:t>
      </w:r>
      <w:r>
        <w:rPr>
          <w:sz w:val="22"/>
        </w:rPr>
        <w:t>A camera installed for PPE safety can gradually expand into productivity tracking or attendance monitoring without re-consent. The company must publish and enforce a binding policy that limits use to safety compliance only, reviewed annually with worker input.</w:t>
      </w:r>
    </w:p>
    <w:p>
      <w:pPr>
        <w:spacing w:before="240" w:after="80"/>
      </w:pPr>
      <w:r>
        <w:rPr>
          <w:b/>
          <w:color w:val="1F497D"/>
          <w:sz w:val="26"/>
        </w:rPr>
        <w:t>4. Ethical Implications</w:t>
      </w:r>
    </w:p>
    <w:p>
      <w:pPr>
        <w:spacing w:after="100" w:before="0" w:line="280" w:lineRule="exact"/>
      </w:pPr>
      <w:r>
        <w:rPr>
          <w:b/>
          <w:sz w:val="22"/>
        </w:rPr>
        <w:t xml:space="preserve">Algorithmic bias. </w:t>
      </w:r>
      <w:r>
        <w:rPr>
          <w:sz w:val="22"/>
        </w:rPr>
        <w:t>The CV model learns from its training data. If that data does not represent the full diversity of the workforce — different skin tones, body sizes, protective gear styles — the model will be less accurate for underrepresented groups. Buolamwini and Gebru’s Gender Shades study (2018) [3] found error rates up to 34% higher for dark-skinned women in commercial CV systems. A PPE system with similar bias will flag certain workers disproportionately — creating unequal enforcement driven by model error, not actual non-compliance.</w:t>
      </w:r>
    </w:p>
    <w:p>
      <w:pPr>
        <w:spacing w:after="100" w:before="0" w:line="280" w:lineRule="exact"/>
      </w:pPr>
      <w:r>
        <w:rPr>
          <w:b/>
          <w:sz w:val="22"/>
        </w:rPr>
        <w:t xml:space="preserve">Informed consent. </w:t>
      </w:r>
      <w:r>
        <w:rPr>
          <w:sz w:val="22"/>
        </w:rPr>
        <w:t>Workers should not learn about the system from a wall notice after it is already running. Before deployment they should know: what the camera captures, how accurate the model is, what triggers an alert, and how to challenge a decision they believe is wrong.</w:t>
      </w:r>
    </w:p>
    <w:p>
      <w:pPr>
        <w:spacing w:after="100" w:before="0" w:line="280" w:lineRule="exact"/>
      </w:pPr>
      <w:r>
        <w:rPr>
          <w:b/>
          <w:sz w:val="22"/>
        </w:rPr>
        <w:t xml:space="preserve">Proportionality. </w:t>
      </w:r>
      <w:r>
        <w:rPr>
          <w:sz w:val="22"/>
        </w:rPr>
        <w:t>The system should do only what is needed for safety — not log movement patterns, task duration, or social interactions. If regular supervisor checks or improved PPE availability could achieve comparable safety outcomes with less invasiveness, those options should be evaluated and documented alongside the camera system.</w:t>
      </w:r>
    </w:p>
    <w:p>
      <w:pPr>
        <w:spacing w:after="100" w:before="0" w:line="280" w:lineRule="exact"/>
      </w:pPr>
      <w:r>
        <w:rPr>
          <w:b/>
          <w:sz w:val="22"/>
        </w:rPr>
        <w:t xml:space="preserve">Power asymmetry. </w:t>
      </w:r>
      <w:r>
        <w:rPr>
          <w:sz w:val="22"/>
        </w:rPr>
        <w:t>Workers in temporary or non-unionised roles have limited ability to contest automated decisions. This places a heightened duty on the organisation to ensure the system is never used in ways that harm workers who cannot easily defend themselves.</w:t>
      </w:r>
    </w:p>
    <w:p>
      <w:pPr>
        <w:spacing w:before="240" w:after="80"/>
      </w:pPr>
      <w:r>
        <w:rPr>
          <w:b/>
          <w:color w:val="1F497D"/>
          <w:sz w:val="26"/>
        </w:rPr>
        <w:t>5. Professional Implications</w:t>
      </w:r>
    </w:p>
    <w:p>
      <w:pPr>
        <w:spacing w:after="100" w:before="0" w:line="280" w:lineRule="exact"/>
      </w:pPr>
      <w:r>
        <w:rPr>
          <w:b/>
          <w:sz w:val="22"/>
        </w:rPr>
        <w:t xml:space="preserve">Responsibility to disclose. </w:t>
      </w:r>
      <w:r>
        <w:rPr>
          <w:sz w:val="22"/>
        </w:rPr>
        <w:t>Engineers and data scientists building this system have a professional obligation to test model accuracy across all worker demographics, document known failure modes honestly, and communicate limitations clearly to management — even when that is not what management wants to hear.</w:t>
      </w:r>
    </w:p>
    <w:p>
      <w:pPr>
        <w:spacing w:after="100" w:before="0" w:line="280" w:lineRule="exact"/>
      </w:pPr>
      <w:r>
        <w:rPr>
          <w:b/>
          <w:sz w:val="22"/>
        </w:rPr>
        <w:t xml:space="preserve">Model documentation. </w:t>
      </w:r>
      <w:r>
        <w:rPr>
          <w:sz w:val="22"/>
        </w:rPr>
        <w:t>Responsible deployment requires a model card: a plain-language document stating what the model detects, how accurate it is, which groups it was tested on, and what its known weaknesses are. This also satisfies GDPR’s transparency and accountability requirements.</w:t>
      </w:r>
    </w:p>
    <w:p>
      <w:pPr>
        <w:spacing w:after="100" w:before="0" w:line="280" w:lineRule="exact"/>
      </w:pPr>
      <w:r>
        <w:rPr>
          <w:b/>
          <w:sz w:val="22"/>
        </w:rPr>
        <w:t xml:space="preserve">Human-in-the-loop. </w:t>
      </w:r>
      <w:r>
        <w:rPr>
          <w:sz w:val="22"/>
        </w:rPr>
        <w:t>No automated alert should directly trigger a disciplinary action. A safety officer or line manager must review each flag, consider the context, and decide whether to act. The Clearview AI case — billions of faces processed without consent, leading to multiple GDPR enforcement actions — and the Amazon Rekognition controversy — significant demographic bias demonstrated at scale — both illustrate what happens when AI systems run without adequate human oversight.</w:t>
      </w:r>
    </w:p>
    <w:p>
      <w:pPr>
        <w:spacing w:after="100" w:before="0" w:line="280" w:lineRule="exact"/>
      </w:pPr>
      <w:r>
        <w:rPr>
          <w:b/>
          <w:sz w:val="22"/>
        </w:rPr>
        <w:t xml:space="preserve">Continuous auditing. </w:t>
      </w:r>
      <w:r>
        <w:rPr>
          <w:sz w:val="22"/>
        </w:rPr>
        <w:t>Model accuracy drifts as conditions change: lighting, seasonal PPE variations, workforce turnover. The system should be audited quarterly, with results shared with worker representatives. If error rates rise for any group, the model must be retrained before enforcement continues.</w:t>
      </w:r>
    </w:p>
    <w:p>
      <w:pPr>
        <w:spacing w:before="240" w:after="80"/>
      </w:pPr>
      <w:r>
        <w:rPr>
          <w:b/>
          <w:color w:val="1F497D"/>
          <w:sz w:val="26"/>
        </w:rPr>
        <w:t>6. Finding the Right Balance</w:t>
      </w:r>
    </w:p>
    <w:p>
      <w:pPr>
        <w:spacing w:after="120" w:before="0" w:line="280" w:lineRule="exact"/>
      </w:pPr>
      <w:r>
        <w:rPr>
          <w:sz w:val="22"/>
        </w:rPr>
        <w:t>The four questions translate into a clear governance framework. Applying it consistently protects the company legally and builds the worker trust that makes the system effective in practice:</w:t>
      </w:r>
    </w:p>
    <w:tbl>
      <w:tblPr>
        <w:tblStyle w:val="TableGrid"/>
        <w:tblW w:type="auto" w:w="0"/>
        <w:tblLook w:firstColumn="1" w:firstRow="1" w:lastColumn="0" w:lastRow="0" w:noHBand="0" w:noVBand="1" w:val="04A0"/>
      </w:tblPr>
      <w:tblGrid>
        <w:gridCol w:w="4703"/>
        <w:gridCol w:w="4703"/>
      </w:tblGrid>
      <w:tr>
        <w:tc>
          <w:tcPr>
            <w:tcW w:type="dxa" w:w="4703"/>
            <w:shd w:val="clear" w:color="auto" w:fill="BDD7EE"/>
          </w:tcPr>
          <w:p>
            <w:pPr>
              <w:spacing w:after="40"/>
            </w:pPr>
            <w:r>
              <w:rPr>
                <w:b/>
                <w:sz w:val="20"/>
              </w:rPr>
              <w:t>Question</w:t>
            </w:r>
          </w:p>
        </w:tc>
        <w:tc>
          <w:tcPr>
            <w:tcW w:type="dxa" w:w="4703"/>
            <w:shd w:val="clear" w:color="auto" w:fill="BDD7EE"/>
          </w:tcPr>
          <w:p>
            <w:pPr>
              <w:spacing w:after="40"/>
            </w:pPr>
            <w:r>
              <w:rPr>
                <w:b/>
                <w:sz w:val="20"/>
              </w:rPr>
              <w:t>Practical Guideline</w:t>
            </w:r>
          </w:p>
        </w:tc>
      </w:tr>
      <w:tr>
        <w:tc>
          <w:tcPr>
            <w:tcW w:type="dxa" w:w="4703"/>
          </w:tcPr>
          <w:p>
            <w:pPr>
              <w:spacing w:after="40"/>
            </w:pPr>
            <w:r>
              <w:rPr>
                <w:sz w:val="20"/>
              </w:rPr>
              <w:t>Why capture?</w:t>
            </w:r>
          </w:p>
        </w:tc>
        <w:tc>
          <w:tcPr>
            <w:tcW w:type="dxa" w:w="4703"/>
          </w:tcPr>
          <w:p>
            <w:pPr>
              <w:spacing w:after="40"/>
            </w:pPr>
            <w:r>
              <w:rPr>
                <w:sz w:val="20"/>
              </w:rPr>
              <w:t>PPE compliance only. Purpose documented. No secondary use without re-consent.</w:t>
            </w:r>
          </w:p>
        </w:tc>
      </w:tr>
      <w:tr>
        <w:tc>
          <w:tcPr>
            <w:tcW w:type="dxa" w:w="4703"/>
          </w:tcPr>
          <w:p>
            <w:pPr>
              <w:spacing w:after="40"/>
            </w:pPr>
            <w:r>
              <w:rPr>
                <w:sz w:val="20"/>
              </w:rPr>
              <w:t>What to capture?</w:t>
            </w:r>
          </w:p>
        </w:tc>
        <w:tc>
          <w:tcPr>
            <w:tcW w:type="dxa" w:w="4703"/>
          </w:tcPr>
          <w:p>
            <w:pPr>
              <w:spacing w:after="40"/>
            </w:pPr>
            <w:r>
              <w:rPr>
                <w:sz w:val="20"/>
              </w:rPr>
              <w:t>Active work zones only. No break rooms or canteens. No face storage where avoidable. No behavioural tracking.</w:t>
            </w:r>
          </w:p>
        </w:tc>
      </w:tr>
      <w:tr>
        <w:tc>
          <w:tcPr>
            <w:tcW w:type="dxa" w:w="4703"/>
          </w:tcPr>
          <w:p>
            <w:pPr>
              <w:spacing w:after="40"/>
            </w:pPr>
            <w:r>
              <w:rPr>
                <w:sz w:val="20"/>
              </w:rPr>
              <w:t>How to capture?</w:t>
            </w:r>
          </w:p>
        </w:tc>
        <w:tc>
          <w:tcPr>
            <w:tcW w:type="dxa" w:w="4703"/>
          </w:tcPr>
          <w:p>
            <w:pPr>
              <w:spacing w:after="40"/>
            </w:pPr>
            <w:r>
              <w:rPr>
                <w:sz w:val="20"/>
              </w:rPr>
              <w:t>Workers informed before go-live. DPIA completed (GDPR Art. 35). Human review before any disciplinary action.</w:t>
            </w:r>
          </w:p>
        </w:tc>
      </w:tr>
      <w:tr>
        <w:tc>
          <w:tcPr>
            <w:tcW w:type="dxa" w:w="4703"/>
          </w:tcPr>
          <w:p>
            <w:pPr>
              <w:spacing w:after="40"/>
            </w:pPr>
            <w:r>
              <w:rPr>
                <w:sz w:val="20"/>
              </w:rPr>
              <w:t>How long to keep?</w:t>
            </w:r>
          </w:p>
        </w:tc>
        <w:tc>
          <w:tcPr>
            <w:tcW w:type="dxa" w:w="4703"/>
          </w:tcPr>
          <w:p>
            <w:pPr>
              <w:spacing w:after="40"/>
            </w:pPr>
            <w:r>
              <w:rPr>
                <w:sz w:val="20"/>
              </w:rPr>
              <w:t>30 days for routine checks. 90–180 days for incident footage. Automatic deletion enforced per DPIA.</w:t>
            </w:r>
          </w:p>
        </w:tc>
      </w:tr>
    </w:tbl>
    <w:p>
      <w:pPr>
        <w:spacing w:after="80"/>
      </w:pPr>
    </w:p>
    <w:p>
      <w:pPr>
        <w:spacing w:after="120" w:before="0" w:line="280" w:lineRule="exact"/>
      </w:pPr>
      <w:r>
        <w:rPr>
          <w:sz w:val="22"/>
        </w:rPr>
        <w:t>Workers who understand and trust the system are more likely to comply with PPE rules genuinely — not just when a camera is watching. That is the outcome the company actually needs.</w:t>
      </w:r>
    </w:p>
    <w:p>
      <w:pPr>
        <w:spacing w:before="240" w:after="80"/>
      </w:pPr>
      <w:r>
        <w:rPr>
          <w:b/>
          <w:color w:val="1F497D"/>
          <w:sz w:val="26"/>
        </w:rPr>
        <w:t>7. Conclusion</w:t>
      </w:r>
    </w:p>
    <w:p>
      <w:pPr>
        <w:spacing w:after="120" w:before="0" w:line="280" w:lineRule="exact"/>
      </w:pPr>
      <w:r>
        <w:rPr>
          <w:sz w:val="22"/>
        </w:rPr>
        <w:t>CCTV-based PPE monitoring can meaningfully reduce injuries on the factory floor — but only if the system is built around the people it monitors, not just the hazards it is meant to prevent.</w:t>
      </w:r>
    </w:p>
    <w:p>
      <w:pPr>
        <w:spacing w:after="120" w:before="0" w:line="280" w:lineRule="exact"/>
      </w:pPr>
      <w:r>
        <w:rPr>
          <w:sz w:val="22"/>
        </w:rPr>
        <w:t>The legal obligations under GDPR and UAE PDPL are clear: capture only what is needed, for only as long as needed, and use it only for the stated purpose. The social and ethical obligations go further: consult workers before deployment, test the model for demographic bias, keep humans in the decision loop, and audit the system regularly.</w:t>
      </w:r>
    </w:p>
    <w:p>
      <w:pPr>
        <w:spacing w:after="120" w:before="0" w:line="280" w:lineRule="exact"/>
      </w:pPr>
      <w:r>
        <w:rPr>
          <w:sz w:val="22"/>
        </w:rPr>
        <w:t>Technology alone does not create a safe workplace. Responsible governance does. A phased rollout — starting with alert-only mode while accuracy and fairness metrics are gathered — is the most responsible path forward.</w:t>
      </w:r>
    </w:p>
    <w:p>
      <w:pPr>
        <w:spacing w:before="240" w:after="80"/>
      </w:pPr>
      <w:r>
        <w:rPr>
          <w:b/>
          <w:color w:val="1F497D"/>
          <w:sz w:val="26"/>
        </w:rPr>
        <w:t>References</w:t>
      </w:r>
    </w:p>
    <w:p>
      <w:pPr>
        <w:pStyle w:val="ListNumber"/>
        <w:spacing w:after="80" w:before="0" w:line="260" w:lineRule="exact"/>
      </w:pPr>
      <w:r>
        <w:rPr>
          <w:sz w:val="20"/>
        </w:rPr>
        <w:t>General Data Protection Regulation (GDPR) — Regulation (EU) 2016/679. UK ICO Guide to the UK GDPR (2023). ico.org.uk</w:t>
      </w:r>
    </w:p>
    <w:p>
      <w:pPr>
        <w:pStyle w:val="ListNumber"/>
        <w:spacing w:after="80" w:before="0" w:line="260" w:lineRule="exact"/>
      </w:pPr>
      <w:r>
        <w:rPr>
          <w:sz w:val="20"/>
        </w:rPr>
        <w:t>UAE Federal Decree-Law No. 45 of 2021 on the Protection of Personal Data (PDPL). UAE Ministry of Justice.</w:t>
      </w:r>
    </w:p>
    <w:p>
      <w:pPr>
        <w:pStyle w:val="ListNumber"/>
        <w:spacing w:after="80" w:before="0" w:line="260" w:lineRule="exact"/>
      </w:pPr>
      <w:r>
        <w:rPr>
          <w:sz w:val="20"/>
        </w:rPr>
        <w:t>Buolamwini, J. &amp; Gebru, T. (2018). Gender Shades: Intersectional Accuracy Disparities in Commercial Gender Classification. Proceedings of Machine Learning Research, 81, 1–15.</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