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97D"/>
          <w:sz w:val="30"/>
        </w:rPr>
        <w:t>CS7002NU Assessment 1 — Section C: LSEP Essay</w:t>
      </w:r>
    </w:p>
    <w:p>
      <w:pPr>
        <w:spacing w:after="40"/>
        <w:jc w:val="center"/>
      </w:pPr>
      <w:r>
        <w:rPr>
          <w:i/>
          <w:sz w:val="24"/>
        </w:rPr>
        <w:t>Legal, Social, Ethical and Professional Implications of</w:t>
      </w:r>
    </w:p>
    <w:p>
      <w:pPr>
        <w:spacing w:after="280"/>
        <w:jc w:val="center"/>
      </w:pPr>
      <w:r>
        <w:rPr>
          <w:i/>
          <w:sz w:val="24"/>
        </w:rPr>
        <w:t>CV-Based PPE Monitoring in a Factory Environment</w:t>
      </w:r>
    </w:p>
    <w:p>
      <w:pPr>
        <w:spacing w:after="200"/>
        <w:pBdr>
          <w:bottom w:val="single" w:sz="6" w:space="1" w:color="2E74B5"/>
        </w:pBdr>
      </w:pPr>
    </w:p>
    <w:p>
      <w:pPr>
        <w:spacing w:before="280" w:after="80"/>
      </w:pPr>
      <w:r>
        <w:rPr>
          <w:b/>
          <w:color w:val="1F497D"/>
          <w:sz w:val="28"/>
        </w:rPr>
        <w:t>1. Introduction</w:t>
      </w:r>
    </w:p>
    <w:p>
      <w:pPr>
        <w:spacing w:after="120" w:before="0" w:line="260" w:lineRule="exact"/>
      </w:pPr>
      <w:r>
        <w:t>London Building Materials Manufacturing Ltd. is deploying a computer vision (CV) system to monitor whether factory workers are wearing the required personal protective equipment (PPE) — helmets, hi-vis vests, and goggles — using existing CCTV cameras. The system uses a deep learning model to analyse live footage and flag non-compliance automatically.</w:t>
      </w:r>
    </w:p>
    <w:p>
      <w:pPr>
        <w:spacing w:after="120" w:before="0" w:line="260" w:lineRule="exact"/>
      </w:pPr>
      <w:r>
        <w:t>On the surface, this is a straightforward safety measure. In practice, it raises significant questions across legal, social, ethical, and professional dimensions. This essay analyses those implications and recommends a governance framework that allows the system to deliver safety benefits without causing harm.</w:t>
      </w:r>
    </w:p>
    <w:p>
      <w:pPr>
        <w:spacing w:before="280" w:after="80"/>
      </w:pPr>
      <w:r>
        <w:rPr>
          <w:b/>
          <w:color w:val="1F497D"/>
          <w:sz w:val="28"/>
        </w:rPr>
        <w:t>2. Legal Implications</w:t>
      </w:r>
    </w:p>
    <w:p>
      <w:pPr>
        <w:spacing w:before="200" w:after="80"/>
      </w:pPr>
      <w:r>
        <w:rPr>
          <w:b/>
          <w:color w:val="2E74B5"/>
          <w:sz w:val="24"/>
        </w:rPr>
        <w:t>Data Protection Law</w:t>
      </w:r>
    </w:p>
    <w:p>
      <w:pPr>
        <w:spacing w:after="120" w:before="0" w:line="260" w:lineRule="exact"/>
      </w:pPr>
      <w:r>
        <w:t>Factory CCTV footage captures workers’ faces, which qualifies as biometric personal data under the General Data Protection Regulation (GDPR). This triggers several obligations: the company must establish a lawful basis for processing (most likely legitimate interest in workplace safety), ensure data is used only for that stated purpose (purpose limitation), collect only what is needed (data minimisation), and provide workers with the right to access or delete their data.</w:t>
      </w:r>
    </w:p>
    <w:p>
      <w:pPr>
        <w:spacing w:after="120" w:before="0" w:line="260" w:lineRule="exact"/>
      </w:pPr>
      <w:r>
        <w:t>As a UAE-based programme, the Personal Data Protection Law (PDPL) — Federal Decree-Law No. 45 of 2021 — applies directly. It requires a legitimate legal basis before processing personal data and grants individuals rights of access and correction. Any deployment must demonstrate compliance with both frameworks.</w:t>
      </w:r>
    </w:p>
    <w:p>
      <w:pPr>
        <w:spacing w:before="200" w:after="80"/>
      </w:pPr>
      <w:r>
        <w:rPr>
          <w:b/>
          <w:color w:val="2E74B5"/>
          <w:sz w:val="24"/>
        </w:rPr>
        <w:t>Workplace Safety Law</w:t>
      </w:r>
    </w:p>
    <w:p>
      <w:pPr>
        <w:spacing w:after="120" w:before="0" w:line="260" w:lineRule="exact"/>
      </w:pPr>
      <w:r>
        <w:t>Regulations from HSE (UK) and OSHA (US) place a legal duty of care on employers to enforce PPE compliance. An automated monitoring system directly supports that duty. However, a critical risk arises from false negatives — instances where the model fails to detect a missing helmet. If a worker is injured following an undetected violation, and the company relied solely on an imperfect AI system without human checks, this could expose the organisation to significant legal liability.</w:t>
      </w:r>
    </w:p>
    <w:p>
      <w:pPr>
        <w:spacing w:before="200" w:after="80"/>
      </w:pPr>
      <w:r>
        <w:rPr>
          <w:b/>
          <w:color w:val="2E74B5"/>
          <w:sz w:val="24"/>
        </w:rPr>
        <w:t>CCTV and Automated Decisions</w:t>
      </w:r>
    </w:p>
    <w:p>
      <w:pPr>
        <w:spacing w:after="120" w:before="0" w:line="260" w:lineRule="exact"/>
      </w:pPr>
      <w:r>
        <w:t>Deploying camera-based monitoring typically requires a Data Protection Impact Assessment (DPIA) before rollout, visible notices informing workers that recording is in place, and a documented footage retention policy. If the system issues alerts that directly trigger disciplinary action, employees have the right to understand how that decision was made — placing additional obligations on the company to ensure explainability and human review.</w:t>
      </w:r>
    </w:p>
    <w:p>
      <w:pPr>
        <w:spacing w:before="280" w:after="80"/>
      </w:pPr>
      <w:r>
        <w:rPr>
          <w:b/>
          <w:color w:val="1F497D"/>
          <w:sz w:val="28"/>
        </w:rPr>
        <w:t>3. Social Implications</w:t>
      </w:r>
    </w:p>
    <w:p>
      <w:pPr>
        <w:spacing w:after="120" w:before="0" w:line="260" w:lineRule="exact"/>
      </w:pPr>
      <w:r>
        <w:rPr>
          <w:b/>
        </w:rPr>
        <w:t xml:space="preserve">Surveillance and trust.  </w:t>
      </w:r>
      <w:r>
        <w:t>Continuous automated monitoring can fundamentally change the relationship between workers and management. When employees know they are watched at all times — even if only for safety — it can reduce morale and create a culture of distrust.</w:t>
      </w:r>
    </w:p>
    <w:p>
      <w:pPr>
        <w:spacing w:after="120" w:before="0" w:line="260" w:lineRule="exact"/>
      </w:pPr>
      <w:r>
        <w:rPr>
          <w:b/>
        </w:rPr>
        <w:t xml:space="preserve">Chilling effect.  </w:t>
      </w:r>
      <w:r>
        <w:t>Even fully compliant workers may experience psychological stress from the constant awareness of being observed. This can reduce concentration and wellbeing, directly undermining the safe working environment the system is intended to support.</w:t>
      </w:r>
    </w:p>
    <w:p>
      <w:pPr>
        <w:spacing w:after="120" w:before="0" w:line="260" w:lineRule="exact"/>
      </w:pPr>
      <w:r>
        <w:rPr>
          <w:b/>
        </w:rPr>
        <w:t xml:space="preserve">Surveillance creep.  </w:t>
      </w:r>
      <w:r>
        <w:t>A system deployed for PPE safety can gradually be repurposed for productivity tracking or disciplinary action without workers’ consent. This is a documented pattern in workplace technology. Explicit policy constraints, reviewed by HR and worker representatives, are essential to prevent scope expansion.</w:t>
      </w:r>
    </w:p>
    <w:p>
      <w:pPr>
        <w:spacing w:after="120" w:before="0" w:line="260" w:lineRule="exact"/>
      </w:pPr>
      <w:r>
        <w:rPr>
          <w:b/>
        </w:rPr>
        <w:t xml:space="preserve">Equity concerns.  </w:t>
      </w:r>
      <w:r>
        <w:t>The system may perform differently across workers with different skin tones, body sizes, or who wear culturally different forms of protective gear. If certain groups are flagged more frequently due to model error, the result is unequal and potentially discriminatory enforcement.</w:t>
      </w:r>
    </w:p>
    <w:p>
      <w:pPr>
        <w:spacing w:before="280" w:after="80"/>
      </w:pPr>
      <w:r>
        <w:rPr>
          <w:b/>
          <w:color w:val="1F497D"/>
          <w:sz w:val="28"/>
        </w:rPr>
        <w:t>4. Ethical Implications</w:t>
      </w:r>
    </w:p>
    <w:p>
      <w:pPr>
        <w:spacing w:after="120" w:before="0" w:line="260" w:lineRule="exact"/>
      </w:pPr>
      <w:r>
        <w:rPr>
          <w:b/>
        </w:rPr>
        <w:t xml:space="preserve">Algorithmic bias.  </w:t>
      </w:r>
      <w:r>
        <w:t>The model’s fairness depends entirely on the diversity of its training data. The landmark Buolamwini and Gebru (2018) “Gender Shades” study demonstrated this clearly: commercial facial recognition systems had error rates up to 34% higher on dark-skinned women compared to light-skinned men. A PPE detection system trained without demographic diversity could reproduce exactly this pattern.</w:t>
      </w:r>
    </w:p>
    <w:p>
      <w:pPr>
        <w:spacing w:after="120" w:before="0" w:line="260" w:lineRule="exact"/>
      </w:pPr>
      <w:r>
        <w:rPr>
          <w:b/>
        </w:rPr>
        <w:t xml:space="preserve">Consent and transparency.  </w:t>
      </w:r>
      <w:r>
        <w:t>Were workers consulted before the system was deployed? Do they understand what it flags and how errors are handled? Informed consent is not just a legal requirement — it is an ethical baseline. Deploying surveillance technology without meaningful transparency undermines worker dignity, even when the intent is protective.</w:t>
      </w:r>
    </w:p>
    <w:p>
      <w:pPr>
        <w:spacing w:after="120" w:before="0" w:line="260" w:lineRule="exact"/>
      </w:pPr>
      <w:r>
        <w:rPr>
          <w:b/>
        </w:rPr>
        <w:t xml:space="preserve">Proportionality.  </w:t>
      </w:r>
      <w:r>
        <w:t>Is continuous AI monitoring proportionate to the safety risk? Could regular supervisor checks, physical audits, or improved PPE availability achieve equivalent safety outcomes with less invasiveness? These alternatives should be evaluated and documented before committing to automated surveillance.</w:t>
      </w:r>
    </w:p>
    <w:p>
      <w:pPr>
        <w:spacing w:after="120" w:before="0" w:line="260" w:lineRule="exact"/>
      </w:pPr>
      <w:r>
        <w:rPr>
          <w:b/>
        </w:rPr>
        <w:t xml:space="preserve">Power asymmetry.  </w:t>
      </w:r>
      <w:r>
        <w:t>Workers in non-unionised or temporary roles have limited ability to contest automated decisions. This imbalance places a heightened ethical duty on the organisation not to use the system in ways that harm workers who lack the means to defend themselves.</w:t>
      </w:r>
    </w:p>
    <w:p>
      <w:pPr>
        <w:spacing w:before="280" w:after="80"/>
      </w:pPr>
      <w:r>
        <w:rPr>
          <w:b/>
          <w:color w:val="1F497D"/>
          <w:sz w:val="28"/>
        </w:rPr>
        <w:t>5. Professional Implications</w:t>
      </w:r>
    </w:p>
    <w:p>
      <w:pPr>
        <w:spacing w:after="120" w:before="0" w:line="260" w:lineRule="exact"/>
      </w:pPr>
      <w:r>
        <w:rPr>
          <w:b/>
        </w:rPr>
        <w:t xml:space="preserve">Codes of ethics.  </w:t>
      </w:r>
      <w:r>
        <w:t>The BCS, IEEE, and ACM all require computing professionals to place public welfare above organisational interests, disclose system limitations honestly, and avoid harm. Engineers building this system have a professional obligation to refuse deployment where safety cannot be adequately assured.</w:t>
      </w:r>
    </w:p>
    <w:p>
      <w:pPr>
        <w:spacing w:after="120" w:before="0" w:line="260" w:lineRule="exact"/>
      </w:pPr>
      <w:r>
        <w:rPr>
          <w:b/>
        </w:rPr>
        <w:t xml:space="preserve">Model documentation.  </w:t>
      </w:r>
      <w:r>
        <w:t>Responsible deployment requires a model card: a document describing what the model does, its known failure modes, the populations it was tested on, its accuracy across demographic groups, and what post-deployment monitoring is in place. Without this, the organisation cannot make informed decisions about when to trust or override the system.</w:t>
      </w:r>
    </w:p>
    <w:p>
      <w:pPr>
        <w:spacing w:after="120" w:before="0" w:line="260" w:lineRule="exact"/>
      </w:pPr>
      <w:r>
        <w:rPr>
          <w:b/>
        </w:rPr>
        <w:t xml:space="preserve">Human-in-the-loop.  </w:t>
      </w:r>
      <w:r>
        <w:t>For high-stakes outcomes — issuing safety warnings, initiating disciplinary processes, or determining PPE compliance during incident investigations — a human must review the model’s output before action is taken. Fully automated disciplinary pipelines are both ethically indefensible and legally risky. The Clearview AI case (GDPR violations from mass image scraping without consent) and the Amazon Rekognition controversy (significant demographic bias in a widely-deployed CV system) illustrate what happens when AI systems are rushed to deployment without adequate oversight.</w:t>
      </w:r>
    </w:p>
    <w:p>
      <w:pPr>
        <w:spacing w:after="120" w:before="0" w:line="260" w:lineRule="exact"/>
      </w:pPr>
      <w:r>
        <w:rPr>
          <w:b/>
        </w:rPr>
        <w:t xml:space="preserve">Continuous auditing.  </w:t>
      </w:r>
      <w:r>
        <w:t>Model performance drifts as factory conditions change. The organisation should commit to regular audits measuring accuracy and fairness across demographic subgroups, triggering retraining when thresholds are breached. This aligns with the UAE AI Strategy, which explicitly mandates fairness, transparency, and accountability in AI workplace applications.</w:t>
      </w:r>
    </w:p>
    <w:p>
      <w:pPr>
        <w:spacing w:before="280" w:after="80"/>
      </w:pPr>
      <w:r>
        <w:rPr>
          <w:b/>
          <w:color w:val="1F497D"/>
          <w:sz w:val="28"/>
        </w:rPr>
        <w:t>6. Conclusion</w:t>
      </w:r>
    </w:p>
    <w:p>
      <w:pPr>
        <w:spacing w:after="120" w:before="0" w:line="260" w:lineRule="exact"/>
      </w:pPr>
      <w:r>
        <w:t>A CV-based PPE monitoring system can meaningfully improve worker safety at London Building Materials Manufacturing Ltd. — but only if built and governed responsibly. The analysis across all four LSEP dimensions points to the same requirements: legal compliance under GDPR and UAE PDPL, informed worker consent, demographically diverse training data, mandatory human review before any disciplinary action, and ongoing fairness auditing.</w:t>
      </w:r>
    </w:p>
    <w:p>
      <w:pPr>
        <w:spacing w:after="120" w:before="0" w:line="260" w:lineRule="exact"/>
      </w:pPr>
      <w:r>
        <w:t>The technology is ready. The governance must match it. A phased rollout — starting with alert-only mode while fairness metrics are gathered, before any automated escalation is introduced — is the most responsible path forward.</w:t>
      </w:r>
    </w:p>
    <w:p>
      <w:pPr>
        <w:spacing w:before="280" w:after="80"/>
      </w:pPr>
      <w:r>
        <w:rPr>
          <w:b/>
          <w:color w:val="1F497D"/>
          <w:sz w:val="28"/>
        </w:rPr>
        <w:t>References</w:t>
      </w:r>
    </w:p>
    <w:p>
      <w:pPr>
        <w:pStyle w:val="ListNumber"/>
        <w:spacing w:after="60" w:before="0" w:line="260" w:lineRule="exact"/>
      </w:pPr>
      <w:r>
        <w:rPr>
          <w:sz w:val="20"/>
        </w:rPr>
        <w:t>Buolamwini, J. &amp; Gebru, T. (2018). Gender Shades: Intersectional Accuracy Disparities in Commercial Gender Classification. Proceedings of Machine Learning Research.</w:t>
      </w:r>
    </w:p>
    <w:p>
      <w:pPr>
        <w:pStyle w:val="ListNumber"/>
        <w:spacing w:after="60" w:before="0" w:line="260" w:lineRule="exact"/>
      </w:pPr>
      <w:r>
        <w:rPr>
          <w:sz w:val="20"/>
        </w:rPr>
        <w:t>UK Information Commissioner’s Office (2023). Guide to the UK GDPR. ico.org.uk</w:t>
      </w:r>
    </w:p>
    <w:p>
      <w:pPr>
        <w:pStyle w:val="ListNumber"/>
        <w:spacing w:after="60" w:before="0" w:line="260" w:lineRule="exact"/>
      </w:pPr>
      <w:r>
        <w:rPr>
          <w:sz w:val="20"/>
        </w:rPr>
        <w:t>UAE Federal Decree-Law No. 45 of 2021 on the Protection of Personal Data.</w:t>
      </w:r>
    </w:p>
    <w:p>
      <w:pPr>
        <w:pStyle w:val="ListNumber"/>
        <w:spacing w:after="60" w:before="0" w:line="260" w:lineRule="exact"/>
      </w:pPr>
      <w:r>
        <w:rPr>
          <w:sz w:val="20"/>
        </w:rPr>
        <w:t>UAE Office of Artificial Intelligence (2017). UAE National AI Strategy 2031.</w:t>
      </w:r>
    </w:p>
    <w:p>
      <w:pPr>
        <w:pStyle w:val="ListNumber"/>
        <w:spacing w:after="60" w:before="0" w:line="260" w:lineRule="exact"/>
      </w:pPr>
      <w:r>
        <w:rPr>
          <w:sz w:val="20"/>
        </w:rPr>
        <w:t>BCS, The Chartered Institute for IT (2022). Code of Conduct.</w:t>
      </w:r>
    </w:p>
    <w:p>
      <w:pPr>
        <w:pStyle w:val="ListNumber"/>
        <w:spacing w:after="60" w:before="0" w:line="260" w:lineRule="exact"/>
      </w:pPr>
      <w:r>
        <w:rPr>
          <w:sz w:val="20"/>
        </w:rPr>
        <w:t>IEEE (2020). IEEE Code of Ethics.</w:t>
      </w:r>
    </w:p>
    <w:p>
      <w:pPr>
        <w:pStyle w:val="ListNumber"/>
        <w:spacing w:after="60" w:before="0" w:line="260" w:lineRule="exact"/>
      </w:pPr>
      <w:r>
        <w:rPr>
          <w:sz w:val="20"/>
        </w:rPr>
        <w:t>HSE (UK). Personal Protective Equipment at Work Regulations 1992 (as amended 2022).</w:t>
      </w:r>
    </w:p>
    <w:p>
      <w:pPr>
        <w:pStyle w:val="ListNumber"/>
        <w:spacing w:after="60" w:before="0" w:line="260" w:lineRule="exact"/>
      </w:pPr>
      <w:r>
        <w:rPr>
          <w:sz w:val="20"/>
        </w:rPr>
        <w:t>Schwartz, R. et al. (2022). Towards a Standard for Identifying and Managing Bias in Artificial Intelligence. NIST Special Publication 1270.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