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350"/>
        <w:gridCol w:w="1906"/>
        <w:gridCol w:w="1906"/>
        <w:gridCol w:w="1906"/>
        <w:gridCol w:w="1906"/>
        <w:gridCol w:w="1906"/>
        <w:gridCol w:w="1906"/>
      </w:tblGrid>
      <w:tr w:rsidR="00146FE9" w:rsidRPr="00B84713" w14:paraId="33B32AFD" w14:textId="106B1A97" w:rsidTr="00DC7B8E">
        <w:tc>
          <w:tcPr>
            <w:tcW w:w="1961"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5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3"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3"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4"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C7B8E" w:rsidRPr="00B84713" w14:paraId="59B12A4E" w14:textId="505874B3" w:rsidTr="00DC7B8E">
        <w:tc>
          <w:tcPr>
            <w:tcW w:w="1961"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5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696"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375"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3"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543"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374"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DC7B8E" w:rsidRPr="00B84713" w14:paraId="3E58F81F" w14:textId="34EBC4C4" w:rsidTr="00DC7B8E">
        <w:tc>
          <w:tcPr>
            <w:tcW w:w="1961"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50"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Percentile}}</w:t>
            </w:r>
          </w:p>
        </w:tc>
        <w:tc>
          <w:tcPr>
            <w:tcW w:w="1696"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Classification}}</w:t>
            </w:r>
          </w:p>
        </w:tc>
        <w:tc>
          <w:tcPr>
            <w:tcW w:w="1375"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EmotionRegulation</w:t>
            </w:r>
            <w:r>
              <w:rPr>
                <w:rFonts w:ascii="Arial" w:hAnsi="Arial" w:cs="Arial"/>
                <w:sz w:val="20"/>
                <w:szCs w:val="20"/>
              </w:rPr>
              <w:t xml:space="preserve">  SW}}</w:t>
            </w:r>
          </w:p>
        </w:tc>
        <w:tc>
          <w:tcPr>
            <w:tcW w:w="1053"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Percentile}}</w:t>
            </w:r>
          </w:p>
        </w:tc>
        <w:tc>
          <w:tcPr>
            <w:tcW w:w="1543"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Classification}}</w:t>
            </w:r>
          </w:p>
        </w:tc>
        <w:tc>
          <w:tcPr>
            <w:tcW w:w="1374"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EmotionRegulation</w:t>
            </w:r>
            <w:r>
              <w:rPr>
                <w:rFonts w:ascii="Arial" w:hAnsi="Arial" w:cs="Arial"/>
                <w:sz w:val="20"/>
                <w:szCs w:val="20"/>
              </w:rPr>
              <w:t xml:space="preserve">  SW}}</w:t>
            </w:r>
          </w:p>
        </w:tc>
      </w:tr>
      <w:tr w:rsidR="00DC7B8E" w:rsidRPr="00B84713" w14:paraId="73B4D346" w14:textId="02D64DED" w:rsidTr="00DC7B8E">
        <w:tc>
          <w:tcPr>
            <w:tcW w:w="1961"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5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696"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375"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053"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543"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374"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DC7B8E" w:rsidRPr="00B84713" w14:paraId="11F3098B" w14:textId="4987E517" w:rsidTr="00DC7B8E">
        <w:tc>
          <w:tcPr>
            <w:tcW w:w="1961"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50" w:type="dxa"/>
            <w:tcBorders>
              <w:left w:val="single" w:sz="12" w:space="0" w:color="auto"/>
            </w:tcBorders>
          </w:tcPr>
          <w:p w14:paraId="3612FFFB" w14:textId="386FD8C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 Control</w:t>
            </w:r>
            <w:r>
              <w:rPr>
                <w:rFonts w:ascii="Arial" w:hAnsi="Arial" w:cs="Arial"/>
                <w:sz w:val="20"/>
                <w:szCs w:val="20"/>
              </w:rPr>
              <w:t xml:space="preserve">  Percentile}}</w:t>
            </w:r>
          </w:p>
        </w:tc>
        <w:tc>
          <w:tcPr>
            <w:tcW w:w="1696" w:type="dxa"/>
          </w:tcPr>
          <w:p w14:paraId="5C1231C1" w14:textId="4ACDFD8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 Control</w:t>
            </w:r>
            <w:r>
              <w:rPr>
                <w:rFonts w:ascii="Arial" w:hAnsi="Arial" w:cs="Arial"/>
                <w:sz w:val="20"/>
                <w:szCs w:val="20"/>
              </w:rPr>
              <w:t xml:space="preserve">  Classification}}</w:t>
            </w:r>
          </w:p>
        </w:tc>
        <w:tc>
          <w:tcPr>
            <w:tcW w:w="1375" w:type="dxa"/>
          </w:tcPr>
          <w:p w14:paraId="3F781BEE" w14:textId="6B2D5B6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Inhibitory Control</w:t>
            </w:r>
            <w:r>
              <w:rPr>
                <w:rFonts w:ascii="Arial" w:hAnsi="Arial" w:cs="Arial"/>
                <w:sz w:val="20"/>
                <w:szCs w:val="20"/>
              </w:rPr>
              <w:t xml:space="preserve">  SW}}</w:t>
            </w:r>
          </w:p>
        </w:tc>
        <w:tc>
          <w:tcPr>
            <w:tcW w:w="1053" w:type="dxa"/>
          </w:tcPr>
          <w:p w14:paraId="7D6C8189" w14:textId="3082F2F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Inhibitory Control</w:t>
            </w:r>
            <w:r>
              <w:rPr>
                <w:rFonts w:ascii="Arial" w:hAnsi="Arial" w:cs="Arial"/>
                <w:sz w:val="20"/>
                <w:szCs w:val="20"/>
              </w:rPr>
              <w:t xml:space="preserve">  Percentile}}</w:t>
            </w:r>
          </w:p>
        </w:tc>
        <w:tc>
          <w:tcPr>
            <w:tcW w:w="1543" w:type="dxa"/>
          </w:tcPr>
          <w:p w14:paraId="46B27156" w14:textId="24F2313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Inhibitory Control</w:t>
            </w:r>
            <w:r>
              <w:rPr>
                <w:rFonts w:ascii="Arial" w:hAnsi="Arial" w:cs="Arial"/>
                <w:sz w:val="20"/>
                <w:szCs w:val="20"/>
              </w:rPr>
              <w:t xml:space="preserve">  Classification}}</w:t>
            </w:r>
          </w:p>
        </w:tc>
        <w:tc>
          <w:tcPr>
            <w:tcW w:w="1374" w:type="dxa"/>
          </w:tcPr>
          <w:p w14:paraId="46B2C0CA" w14:textId="731958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Inhibitory Control</w:t>
            </w:r>
            <w:r>
              <w:rPr>
                <w:rFonts w:ascii="Arial" w:hAnsi="Arial" w:cs="Arial"/>
                <w:sz w:val="20"/>
                <w:szCs w:val="20"/>
              </w:rPr>
              <w:t xml:space="preserve">  SW}}</w:t>
            </w:r>
          </w:p>
        </w:tc>
      </w:tr>
      <w:tr w:rsidR="00DC7B8E" w:rsidRPr="00B84713" w14:paraId="019E811D" w14:textId="529AE956" w:rsidTr="00DC7B8E">
        <w:tc>
          <w:tcPr>
            <w:tcW w:w="1961"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5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696"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375"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053"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543"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374"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DC7B8E" w:rsidRPr="00B84713" w14:paraId="78FE5C50" w14:textId="3B060E0C" w:rsidTr="00DC7B8E">
        <w:tc>
          <w:tcPr>
            <w:tcW w:w="1961"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50" w:type="dxa"/>
            <w:tcBorders>
              <w:left w:val="single" w:sz="12" w:space="0" w:color="auto"/>
            </w:tcBorders>
          </w:tcPr>
          <w:p w14:paraId="00B9F526" w14:textId="7CA135C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Organisation</w:t>
            </w:r>
            <w:r>
              <w:rPr>
                <w:rFonts w:ascii="Arial" w:hAnsi="Arial" w:cs="Arial"/>
                <w:sz w:val="20"/>
                <w:szCs w:val="20"/>
              </w:rPr>
              <w:t xml:space="preserve">  Percentile}}</w:t>
            </w:r>
          </w:p>
        </w:tc>
        <w:tc>
          <w:tcPr>
            <w:tcW w:w="1696" w:type="dxa"/>
          </w:tcPr>
          <w:p w14:paraId="1B667184" w14:textId="676E4B9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Organisation</w:t>
            </w:r>
            <w:r>
              <w:rPr>
                <w:rFonts w:ascii="Arial" w:hAnsi="Arial" w:cs="Arial"/>
                <w:sz w:val="20"/>
                <w:szCs w:val="20"/>
              </w:rPr>
              <w:t xml:space="preserve">  Classification}}</w:t>
            </w:r>
          </w:p>
        </w:tc>
        <w:tc>
          <w:tcPr>
            <w:tcW w:w="1375" w:type="dxa"/>
          </w:tcPr>
          <w:p w14:paraId="022705B1" w14:textId="2F43B08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Organisation</w:t>
            </w:r>
            <w:r>
              <w:rPr>
                <w:rFonts w:ascii="Arial" w:hAnsi="Arial" w:cs="Arial"/>
                <w:sz w:val="20"/>
                <w:szCs w:val="20"/>
              </w:rPr>
              <w:t xml:space="preserve">  SW}}</w:t>
            </w:r>
          </w:p>
        </w:tc>
        <w:tc>
          <w:tcPr>
            <w:tcW w:w="1053" w:type="dxa"/>
          </w:tcPr>
          <w:p w14:paraId="7255C124" w14:textId="23823D3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Organisation</w:t>
            </w:r>
            <w:r>
              <w:rPr>
                <w:rFonts w:ascii="Arial" w:hAnsi="Arial" w:cs="Arial"/>
                <w:sz w:val="20"/>
                <w:szCs w:val="20"/>
              </w:rPr>
              <w:t xml:space="preserve">  Percentile}}</w:t>
            </w:r>
          </w:p>
        </w:tc>
        <w:tc>
          <w:tcPr>
            <w:tcW w:w="1543" w:type="dxa"/>
          </w:tcPr>
          <w:p w14:paraId="5EDF79AA" w14:textId="40E95E1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Organisation</w:t>
            </w:r>
            <w:r>
              <w:rPr>
                <w:rFonts w:ascii="Arial" w:hAnsi="Arial" w:cs="Arial"/>
                <w:sz w:val="20"/>
                <w:szCs w:val="20"/>
              </w:rPr>
              <w:t xml:space="preserve">  Classification}}</w:t>
            </w:r>
          </w:p>
        </w:tc>
        <w:tc>
          <w:tcPr>
            <w:tcW w:w="1374" w:type="dxa"/>
          </w:tcPr>
          <w:p w14:paraId="3E4B44B3" w14:textId="45A28C5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Organisation</w:t>
            </w:r>
            <w:r>
              <w:rPr>
                <w:rFonts w:ascii="Arial" w:hAnsi="Arial" w:cs="Arial"/>
                <w:sz w:val="20"/>
                <w:szCs w:val="20"/>
              </w:rPr>
              <w:t xml:space="preserve">  SW}}</w:t>
            </w:r>
          </w:p>
        </w:tc>
      </w:tr>
      <w:tr w:rsidR="00DC7B8E" w:rsidRPr="00B84713" w14:paraId="6B7D5BFE" w14:textId="68976DFA" w:rsidTr="00DC7B8E">
        <w:tc>
          <w:tcPr>
            <w:tcW w:w="1961"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5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696"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375"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053"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543"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374"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DC7B8E" w:rsidRPr="00B84713" w14:paraId="44CAF6CD" w14:textId="4E96EF84" w:rsidTr="00DC7B8E">
        <w:tc>
          <w:tcPr>
            <w:tcW w:w="1961"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50" w:type="dxa"/>
            <w:tcBorders>
              <w:left w:val="single" w:sz="12" w:space="0" w:color="auto"/>
            </w:tcBorders>
          </w:tcPr>
          <w:p w14:paraId="6301529B" w14:textId="7E676A5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696" w:type="dxa"/>
          </w:tcPr>
          <w:p w14:paraId="099604AE" w14:textId="197FC6A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375" w:type="dxa"/>
          </w:tcPr>
          <w:p w14:paraId="3C6B8BF6" w14:textId="0C66887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053" w:type="dxa"/>
          </w:tcPr>
          <w:p w14:paraId="0F6F6729" w14:textId="7E8088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543" w:type="dxa"/>
          </w:tcPr>
          <w:p w14:paraId="3FD538F5" w14:textId="63D7F25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374" w:type="dxa"/>
          </w:tcPr>
          <w:p w14:paraId="71F6D728" w14:textId="311FBE8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DC7B8E" w:rsidRPr="00B84713" w14:paraId="4A16550D" w14:textId="25A916AA" w:rsidTr="00DC7B8E">
        <w:tc>
          <w:tcPr>
            <w:tcW w:w="1961"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50" w:type="dxa"/>
            <w:tcBorders>
              <w:left w:val="single" w:sz="12" w:space="0" w:color="auto"/>
            </w:tcBorders>
          </w:tcPr>
          <w:p w14:paraId="53F71CBD" w14:textId="1ABCC0D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 Memory</w:t>
            </w:r>
            <w:r>
              <w:rPr>
                <w:rFonts w:ascii="Arial" w:hAnsi="Arial" w:cs="Arial"/>
                <w:sz w:val="20"/>
                <w:szCs w:val="20"/>
              </w:rPr>
              <w:t xml:space="preserve">  Percentile}}</w:t>
            </w:r>
          </w:p>
        </w:tc>
        <w:tc>
          <w:tcPr>
            <w:tcW w:w="1696" w:type="dxa"/>
          </w:tcPr>
          <w:p w14:paraId="4F251352" w14:textId="636D362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 Memory</w:t>
            </w:r>
            <w:r>
              <w:rPr>
                <w:rFonts w:ascii="Arial" w:hAnsi="Arial" w:cs="Arial"/>
                <w:sz w:val="20"/>
                <w:szCs w:val="20"/>
              </w:rPr>
              <w:t xml:space="preserve">  Classification}}</w:t>
            </w:r>
          </w:p>
        </w:tc>
        <w:tc>
          <w:tcPr>
            <w:tcW w:w="1375" w:type="dxa"/>
          </w:tcPr>
          <w:p w14:paraId="65D69E06" w14:textId="09A630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Working Memory</w:t>
            </w:r>
            <w:r>
              <w:rPr>
                <w:rFonts w:ascii="Arial" w:hAnsi="Arial" w:cs="Arial"/>
                <w:sz w:val="20"/>
                <w:szCs w:val="20"/>
              </w:rPr>
              <w:t xml:space="preserve">  SW}}</w:t>
            </w:r>
          </w:p>
        </w:tc>
        <w:tc>
          <w:tcPr>
            <w:tcW w:w="1053" w:type="dxa"/>
          </w:tcPr>
          <w:p w14:paraId="62D7386B" w14:textId="1426058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 Memory</w:t>
            </w:r>
            <w:r>
              <w:rPr>
                <w:rFonts w:ascii="Arial" w:hAnsi="Arial" w:cs="Arial"/>
                <w:sz w:val="20"/>
                <w:szCs w:val="20"/>
              </w:rPr>
              <w:t xml:space="preserve">  Percentile}}</w:t>
            </w:r>
          </w:p>
        </w:tc>
        <w:tc>
          <w:tcPr>
            <w:tcW w:w="1543" w:type="dxa"/>
          </w:tcPr>
          <w:p w14:paraId="759C57B4" w14:textId="5560B15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 Memory</w:t>
            </w:r>
            <w:r>
              <w:rPr>
                <w:rFonts w:ascii="Arial" w:hAnsi="Arial" w:cs="Arial"/>
                <w:sz w:val="20"/>
                <w:szCs w:val="20"/>
              </w:rPr>
              <w:t xml:space="preserve">  Classification}}</w:t>
            </w:r>
          </w:p>
        </w:tc>
        <w:tc>
          <w:tcPr>
            <w:tcW w:w="1374" w:type="dxa"/>
          </w:tcPr>
          <w:p w14:paraId="09DD97BE" w14:textId="1CB0F0A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Working Memory</w:t>
            </w:r>
            <w:r>
              <w:rPr>
                <w:rFonts w:ascii="Arial" w:hAnsi="Arial" w:cs="Arial"/>
                <w:sz w:val="20"/>
                <w:szCs w:val="20"/>
              </w:rPr>
              <w:t xml:space="preserve">  SW}}</w:t>
            </w:r>
          </w:p>
        </w:tc>
      </w:tr>
      <w:tr w:rsidR="00DC7B8E" w:rsidRPr="00B84713" w14:paraId="178A8CC7" w14:textId="15131789" w:rsidTr="00DC7B8E">
        <w:tc>
          <w:tcPr>
            <w:tcW w:w="1961"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5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3"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543"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374"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w:t>
      </w:r>
      <w:r w:rsidR="000A079E" w:rsidRPr="00B84713">
        <w:rPr>
          <w:rFonts w:ascii="Arial" w:hAnsi="Arial" w:cs="Arial"/>
        </w:rPr>
        <w:lastRenderedPageBreak/>
        <w:t>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lastRenderedPageBreak/>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86BED" w14:textId="77777777" w:rsidR="003B775B" w:rsidRDefault="003B775B">
      <w:pPr>
        <w:spacing w:after="0" w:line="240" w:lineRule="auto"/>
      </w:pPr>
      <w:r>
        <w:separator/>
      </w:r>
    </w:p>
  </w:endnote>
  <w:endnote w:type="continuationSeparator" w:id="0">
    <w:p w14:paraId="2EFA40D5" w14:textId="77777777" w:rsidR="003B775B" w:rsidRDefault="003B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87106" w14:textId="77777777" w:rsidR="003B775B" w:rsidRDefault="003B775B">
      <w:pPr>
        <w:spacing w:after="0" w:line="240" w:lineRule="auto"/>
      </w:pPr>
      <w:r>
        <w:separator/>
      </w:r>
    </w:p>
  </w:footnote>
  <w:footnote w:type="continuationSeparator" w:id="0">
    <w:p w14:paraId="3B252EB3" w14:textId="77777777" w:rsidR="003B775B" w:rsidRDefault="003B7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B775B"/>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25</Pages>
  <Words>8848</Words>
  <Characters>50438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17</cp:revision>
  <cp:lastPrinted>2023-11-22T02:03:00Z</cp:lastPrinted>
  <dcterms:created xsi:type="dcterms:W3CDTF">2025-05-02T17:53:00Z</dcterms:created>
  <dcterms:modified xsi:type="dcterms:W3CDTF">2025-08-08T14:26:00Z</dcterms:modified>
</cp:coreProperties>
</file>