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2DC" w:rsidRPr="002F22DC" w:rsidRDefault="002F22DC" w:rsidP="002F22DC">
      <w:pPr>
        <w:rPr>
          <w:rFonts w:ascii="Times New Roman" w:eastAsia="Times New Roman" w:hAnsi="Times New Roman" w:cs="Times New Roman"/>
        </w:rPr>
      </w:pP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CSC332  Fall 2018       HW3 (Paging)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Due: Mon Nov 12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Q1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Consider the memory management scheme using paging. All numbers shown below and in your answer are in decimal.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The page size is 16 bytes.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The following table shows several logical addresses of process 5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and their corresponding physical addresses: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Logical address         Physical address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---------------         ----------------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53                              37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17                              113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35                              99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9                               73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55                              39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Show the “page frame number” column in the first 4 rows (rows 0…3) of the page table of process 5.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Q2.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Consider a paging scheme.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Suppose the page frame size is 64 bytes.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Suppose all of process A is currently loaded in memory.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Assume the page </w:t>
      </w:r>
      <w:proofErr w:type="spellStart"/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 of process A is loaded in page frame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3i (for any page </w:t>
      </w:r>
      <w:proofErr w:type="spellStart"/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 of the process).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In process A, there is an array B[0..100].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Assume that each element of B occupies 4 bytes.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The physical address of the beginning byte of B[50]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(i.e., the byte 0 of B[50]) is 1390.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Compute the physical address of B[100].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lastRenderedPageBreak/>
        <w:t>Show your calculations. Clearly write down the final answer in one place.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Q3.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Consider memory management scheme using paging.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Assume that the page size is 128 bytes. Assume that each logical address and physical address is 16 bits long.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The entries in the page table for process 3, starting from row 0 of the table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onwards, are: (Only the page frame number column is shown. These are shown in binary, spaces are included just for better readability):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000 000 000 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100 111 010 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011 100 000 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000 010 000 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100 000 000 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101 000 000 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...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...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Convert the following PHYSICAL ADDRESSES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to the corresponding LOGICAL ADDRESSES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in process 3.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These numbers are in BINARY,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and your answer should also be in BINARY.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Show details of your calculations.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(a) 011 100 000 001 001 0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(b) 101 000 000 010 010 1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Q4.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Consider the memory management scheme using paging.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Let </w:t>
      </w:r>
      <w:proofErr w:type="spellStart"/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</w:t>
      </w:r>
      <w:proofErr w:type="spellEnd"/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 be the page frame number column in the page table. Assume that the page table for process 2 satisfies T[</w:t>
      </w:r>
      <w:proofErr w:type="spellStart"/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]=i+5 for all pages </w:t>
      </w:r>
      <w:proofErr w:type="spellStart"/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</w:t>
      </w:r>
      <w:proofErr w:type="spellEnd"/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Assume that the page size is 256 bytes.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Convert the following logical addresses in process 2 to 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the corresponding physical addresses. All numbers here and in your answer are in decimal.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(a) 1021</w:t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2F22DC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(b) 5933</w:t>
      </w:r>
    </w:p>
    <w:p w:rsidR="00516D3E" w:rsidRDefault="00516D3E">
      <w:bookmarkStart w:id="0" w:name="_GoBack"/>
      <w:bookmarkEnd w:id="0"/>
    </w:p>
    <w:sectPr w:rsidR="00516D3E" w:rsidSect="00EA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DC"/>
    <w:rsid w:val="002F22DC"/>
    <w:rsid w:val="00516D3E"/>
    <w:rsid w:val="00EA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B93CC4-C5D6-8745-8E7D-863D5DB3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hislam000@citymail.cuny.edu</dc:creator>
  <cp:keywords/>
  <dc:description/>
  <cp:lastModifiedBy>hislam000@citymail.cuny.edu</cp:lastModifiedBy>
  <cp:revision>1</cp:revision>
  <dcterms:created xsi:type="dcterms:W3CDTF">2018-11-08T17:02:00Z</dcterms:created>
  <dcterms:modified xsi:type="dcterms:W3CDTF">2018-11-08T17:03:00Z</dcterms:modified>
</cp:coreProperties>
</file>