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ANEXO LEGAL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Obligación de las Administraciones Públicas</w:t>
      </w:r>
    </w:p>
    <w:p>
      <w:pPr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de utilizar licencias empresariales de IA</w:t>
      </w:r>
    </w:p>
    <w:p>
      <w:pPr>
        <w:spacing w:before="60"/>
      </w:pPr>
    </w:p>
    <w:p>
      <w:pPr>
        <w:pBdr>
          <w:bottom w:val="single" w:color="2E75B6" w:sz="4" w:space="8"/>
        </w:pBdr>
        <w:jc w:val="center"/>
      </w:pP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Justificación normativa para la contratación de versiones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corporativas frente a versiones gratuitas o de consumo</w:t>
      </w:r>
    </w:p>
    <w:p>
      <w:pPr>
        <w:spacing w:before="120"/>
      </w:pPr>
    </w:p>
    <w:p>
      <w:pPr>
        <w:jc w:val="center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ChatGPT  |  Gemini  |  Microsoft Copilot  |  Claude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Febrero 2026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Anexo al Informe Comparativo de Plataformas de IA Corporativas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Resumen ejecutivo: por qué las licencias corporativas son obligatorias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Las Administraciones Públicas en España y la UE están jurídicamente obligadas a utilizar versiones empresariales de herramientas de inteligencia artificial en lugar de versiones gratuitas o de consumo. Esta obligación no es una recomendación técnica sino una exigencia normativa derivada de al menos seis marcos regulatorios convergentes.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Seis marcos normativos convergentes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RGPD (Reglamento UE 2016/679) — Arts. 5, 28, 32, 35, 44-49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LOPDGDD (LO 3/2018) — Arts. 34, 77, Disposición Adicional 1ª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Esquema Nacional de Seguridad (RD 311/2022) — Arts. 2, 19, 22, 24, 38 y Anexo II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Ley 40/2015 de Régimen Jurídico del Sector Público — Arts. 3, 156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Ley 9/2017 de Contratos del Sector Público — Arts. 28, 122, 124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Reglamento de IA de la UE (Reglamento 2024/1689) — Arts. 6, 26, 27, 50, 99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62828" w:sz="1"/>
              <w:left w:val="single" w:color="C62828" w:sz="6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Régimen sancionador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RGPD: Hasta 20 millones de euros o 4% del volumen de negocio global (Art. 83.5).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LOPDGDD: Para organismos públicos, declaración pública de infracción, amonestación con identificación del cargo responsable y publicación en BOE (Art. 77.3).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Reglamento de IA: Hasta 35 millones de euros o 7% del volumen de negocio global (Art. 99). Aplicable desde 2 de agosto de 2026.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RGPD: prohibición estructural del uso de IA de consumo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Artículo 28.3: obligación de contrato con el encargado del tratamiento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El RGPD exige que todo tratamiento realizado por un encargado (processor) esté regulado por un contrato o acto jurídico vinculante (DPA) que establezca el objeto, duración, naturaleza y finalidad del tratamiento. El contrato debe estipular que el encargado: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Trate los datos únicamente siguiendo instrucciones documentadas del responsable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Garantice la confidencialidad del personal autorizado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Adopte las medidas de seguridad del Artículo 32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Asista al responsable en el ejercicio de derechos de los interesados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Suprima o devuelva todos los datos al finalizar la relación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Ponga a disposición la información necesaria para demostrar cumplimiento y permita auditorías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62828" w:sz="1"/>
              <w:left w:val="single" w:color="C62828" w:sz="6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Incumplimiento en versiones gratuitas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Ninguna versión gratuita ofrece DPA: OpenAI no proporciona DPA para ChatGPT Free ni Plus; Anthropic no para Claude Free, Pro ni Max; Google no para cuentas personales de Gemini; Microsoft no aplica su DPA al Copilot gratuito de consumo.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DPA, el tratamiento de cualquier dato personal es ilícito per se conforme al Art. 28.3 RGPD.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Artículo 32: seguridad del tratamiento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Obliga a implementar medidas técnicas y organizativas apropiadas, incluyendo cifrado, confidencialidad, integridad, disponibilidad, resiliencia y evaluación regular de la eficacia de las medidas.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Versiones empresariales: </w:t>
      </w:r>
      <w:r>
        <w:rPr>
          <w:rFonts w:ascii="Arial" w:cs="Arial" w:eastAsia="Arial" w:hAnsi="Arial"/>
          <w:sz w:val="20"/>
          <w:szCs w:val="20"/>
        </w:rPr>
        <w:t xml:space="preserve">Cifrado AES-256 en reposo y TLS 1.2+ en tránsito, certificaciones SOC 2 Type II e ISO 27001, consolas de administración, registros de auditoría, gestión de claves propia (EKM).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Versiones gratuitas: </w:t>
      </w:r>
      <w:r>
        <w:rPr>
          <w:rFonts w:ascii="Arial" w:cs="Arial" w:eastAsia="Arial" w:hAnsi="Arial"/>
          <w:sz w:val="20"/>
          <w:szCs w:val="20"/>
        </w:rPr>
        <w:t xml:space="preserve">Sin controles administrativos, sin registros de auditoría, sin retención configurable, sin DLP, sin opciones de residencia de datos. Imposible verificar, probar o evaluar la eficacia de las medidas de seguridad.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Artículo 35: Evaluación de Impacto (EIPD)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Obligatoria cuando el tratamiento utilice nuevas tecnologías y entrañe alto riesgo. El uso de IA por organismos públicos activa simultáneamente varios criterios de riesgo identificados por las Directrices del Grupo de Trabajo del Artículo 29: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Uso de tecnologías innovadoras (modelos de lenguaje)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Tratamiento a gran escala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Evaluación o puntuación automatizada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Datos de personas vulnerables (ciudadanos en relación con la Administración)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Cuando confluyen dos o más criterios, la EIPD es obligatoria. Una EIPD significativa requiere transparencia del encargado sobre sus operaciones, transparencia que las versiones gratuitas no proporcionan.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Artículos 44-49: transferencias internacionales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Las herramientas gratuitas procesan datos en EE.UU. sin proporcionar Cláusulas Contractuales Tipo (CCT), sin verificación del Marco de Privacidad de Datos UE-EE.UU. (DPF) y sin opciones de residencia de datos en la UE.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Las versiones empresariales ofrecen residencia de datos en la UE, DPA con CCT incorporadas y compromisos contractuales verificables de EU Data Boundary. Tras la sentencia Schrems II (TJUE, C-311/18, 2020), las organizaciones deben realizar evaluaciones caso por caso y adoptar medidas suplementarias.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Artículo 5: principios fundamentales violados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Limitación de la finalidad (Art. 5.1.b): </w:t>
      </w:r>
      <w:r>
        <w:rPr>
          <w:rFonts w:ascii="Arial" w:cs="Arial" w:eastAsia="Arial" w:hAnsi="Arial"/>
          <w:sz w:val="20"/>
          <w:szCs w:val="20"/>
        </w:rPr>
        <w:t xml:space="preserve">Los datos introducidos para tareas administrativas se utilizan para entrenamiento de modelos, una finalidad incompatible.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Minimización de datos (Art. 5.1.c): </w:t>
      </w:r>
      <w:r>
        <w:rPr>
          <w:rFonts w:ascii="Arial" w:cs="Arial" w:eastAsia="Arial" w:hAnsi="Arial"/>
          <w:sz w:val="20"/>
          <w:szCs w:val="20"/>
        </w:rPr>
        <w:t xml:space="preserve">Sin controles para limitar el tratamiento a lo necesario.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Limitación del plazo de conservación (Art. 5.1.e): </w:t>
      </w:r>
      <w:r>
        <w:rPr>
          <w:rFonts w:ascii="Arial" w:cs="Arial" w:eastAsia="Arial" w:hAnsi="Arial"/>
          <w:sz w:val="20"/>
          <w:szCs w:val="20"/>
        </w:rPr>
        <w:t xml:space="preserve">Políticas de retención excesivas: Anthropic hasta 5 años con entrenamiento activado; OpenAI 30 días con posible uso para entrenamiento; Google hasta 18 meses con revisiones humanas que persisten 3 años.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Responsabilidad proactiva (Art. 5.2): </w:t>
      </w:r>
      <w:r>
        <w:rPr>
          <w:rFonts w:ascii="Arial" w:cs="Arial" w:eastAsia="Arial" w:hAnsi="Arial"/>
          <w:sz w:val="20"/>
          <w:szCs w:val="20"/>
        </w:rPr>
        <w:t xml:space="preserve">Imposible demostrar cumplimiento sin registros de auditoría, DPA ni documentación de conformidad.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LOPDGDD: obligaciones específicas para la Administración española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Artículo 77: régimen sancionador para organismos públicos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El Art. 77.1 define un ámbito subjetivo que incluye la AGE, administraciones autonómicas y locales, organismos públicos, autoridades independientes, universidades públicas, corporaciones de Derecho público, fundaciones del sector público y consorcios.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El Art. 77.2 establece que cuando estas entidades cometan infracciones, la AEPD dictará resolución declarando la infracción y estableciendo medidas correctoras.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77.3: </w:t>
      </w:r>
      <w:r>
        <w:rPr>
          <w:rFonts w:ascii="Arial" w:cs="Arial" w:eastAsia="Arial" w:hAnsi="Arial"/>
          <w:sz w:val="20"/>
          <w:szCs w:val="20"/>
        </w:rPr>
        <w:t xml:space="preserve">Cuando las infracciones sean atribuibles a autoridades y directivos que no atendieron informes técnicos, la resolución incluirá amonestación con denominación del cargo responsable y su publicación en el BOE.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Artículo 34: Delegado de Protección de Datos obligatorio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La designación de DPD es obligatoria para todas las entidades del Art. 77.1. El DPD debe ser consultado en todas las decisiones relativas a herramientas de tratamiento de datos, incluidas las herramientas de IA, y debe asesorar sobre la EIPD (Art. 35.2 RGPD).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Disposición Adicional 1ª: nexo con el ENS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Esta disposición constituye el vínculo jurídico entre protección de datos y seguridad de la información: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Apartado 1: </w:t>
      </w:r>
      <w:r>
        <w:rPr>
          <w:rFonts w:ascii="Arial" w:cs="Arial" w:eastAsia="Arial" w:hAnsi="Arial"/>
          <w:sz w:val="20"/>
          <w:szCs w:val="20"/>
        </w:rPr>
        <w:t xml:space="preserve">El ENS incluirá las medidas para evitar pérdida, alteración o acceso no autorizado a datos personales, adaptando los criterios del Art. 32 RGPD.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Apartado 2: </w:t>
      </w:r>
      <w:r>
        <w:rPr>
          <w:rFonts w:ascii="Arial" w:cs="Arial" w:eastAsia="Arial" w:hAnsi="Arial"/>
          <w:sz w:val="20"/>
          <w:szCs w:val="20"/>
        </w:rPr>
        <w:t xml:space="preserve">Los responsables del Art. 77.1 deberán aplicar a los tratamientos de datos las medidas de seguridad del ENS.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Apartado 3: </w:t>
      </w:r>
      <w:r>
        <w:rPr>
          <w:rFonts w:ascii="Arial" w:cs="Arial" w:eastAsia="Arial" w:hAnsi="Arial"/>
          <w:sz w:val="20"/>
          <w:szCs w:val="20"/>
        </w:rPr>
        <w:t xml:space="preserve">Cuando un tercero preste servicio (incluidos proveedores de IA), las medidas de seguridad se corresponderán con las de la Administración de origen y se ajustarán al ENS.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62828" w:sz="1"/>
              <w:left w:val="single" w:color="C62828" w:sz="6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Consecuencia directa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 herramientas de IA gratuitas no pueden demostrar cumplimiento del ENS. Su uso por un organismo público viola simultáneamente la LOPDGDD y el ENS.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Esquema Nacional de Seguridad (RD 311/2022)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Ámbito de aplicación y clasificación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El Art. 2 define un ámbito que abarca la totalidad del sector público según la Ley 40/2015, incluyendo entidades privadas que presten servicios a entidades públicas, las cuales deben garantizar el mismo nivel de seguridad.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El ENS clasifica los sistemas en tres categorías según impacto (disponibilidad, integridad, confidencialidad, autenticidad, trazabilidad):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BÁSICA: </w:t>
      </w:r>
      <w:r>
        <w:rPr>
          <w:rFonts w:ascii="Arial" w:cs="Arial" w:eastAsia="Arial" w:hAnsi="Arial"/>
          <w:sz w:val="20"/>
          <w:szCs w:val="20"/>
        </w:rPr>
        <w:t xml:space="preserve">Impacto limitado. Requiere Declaración de Conformidad.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MEDIA: </w:t>
      </w:r>
      <w:r>
        <w:rPr>
          <w:rFonts w:ascii="Arial" w:cs="Arial" w:eastAsia="Arial" w:hAnsi="Arial"/>
          <w:sz w:val="20"/>
          <w:szCs w:val="20"/>
        </w:rPr>
        <w:t xml:space="preserve">Impacto significativo. Requiere Certificación de Conformidad por auditor acreditado.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ALTA: </w:t>
      </w:r>
      <w:r>
        <w:rPr>
          <w:rFonts w:ascii="Arial" w:cs="Arial" w:eastAsia="Arial" w:hAnsi="Arial"/>
          <w:sz w:val="20"/>
          <w:szCs w:val="20"/>
        </w:rPr>
        <w:t xml:space="preserve">Impacto catastrófico. Requiere Certificación de Conformidad.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Requisitos mínimos relevantes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Los Artículos 12 a 27 definen requisitos que incluyen: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Gestión del riesgo (Art. 14)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Control de acceso y autorización (Art. 17)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Adquisición de productos de seguridad evaluados o certificados (Art. 19)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Protección de la información almacenada y en tránsito (Art. 22)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Registro de actividad y detección de código dañino (Art. 24)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Continuidad del servicio (Art. 26)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38: </w:t>
      </w:r>
      <w:r>
        <w:rPr>
          <w:rFonts w:ascii="Arial" w:cs="Arial" w:eastAsia="Arial" w:hAnsi="Arial"/>
          <w:sz w:val="20"/>
          <w:szCs w:val="20"/>
        </w:rPr>
        <w:t xml:space="preserve">Los proveedores de servicios a entidades públicas deben exhibir la Declaración o Certificación de Conformidad correspondiente.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Certificación ENS de los proveedores principales</w:t>
      </w:r>
    </w:p>
    <w:p>
      <w:pPr>
        <w:spacing w:before="1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Proveedor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Certificación 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Servicios IA incluidos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Microsoft Azure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 (mayo 2024)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Azure OpenAI, M365 Copilot, Copilot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174 servicios (Bedrock para Claude)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Google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Vertex AI (Gemini)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ChatGPT Free/Plus/Pro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Ninguno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Claude Free/Pro/Max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Ninguno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Gemini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Ninguno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</w:tr>
    </w:tbl>
    <w:p>
      <w:pPr>
        <w:spacing w:before="2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Microsoft Azure es actualmente el único proveedor con certificación ENS ALTA específica para servicios de IA. El CCN ha publicado la guía CCN-STIC-884D para configuración segura de servicios de IA de Azure conforme al ENS en categoría ALTA, y el informe de buenas prácticas CCN BP/30 sobre IA y ciberseguridad.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Ley 40/2015 y Ley 9/2017: contratación formal obligatoria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Ley 40/2015 de Régimen Jurídico del Sector Público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3: </w:t>
      </w:r>
      <w:r>
        <w:rPr>
          <w:rFonts w:ascii="Arial" w:cs="Arial" w:eastAsia="Arial" w:hAnsi="Arial"/>
          <w:sz w:val="20"/>
          <w:szCs w:val="20"/>
        </w:rPr>
        <w:t xml:space="preserve">Las Administraciones se relacionarán mediante medios electrónicos que garanticen la interoperabilidad y seguridad de los sistemas y la protección de datos personales.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156.2: </w:t>
      </w:r>
      <w:r>
        <w:rPr>
          <w:rFonts w:ascii="Arial" w:cs="Arial" w:eastAsia="Arial" w:hAnsi="Arial"/>
          <w:sz w:val="20"/>
          <w:szCs w:val="20"/>
        </w:rPr>
        <w:t xml:space="preserve">Fundamenta el ENS al establecer la política de seguridad en la utilización de medios electrónicos.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Cualquier herramienta digital utilizada por la Administración debe cumplir estos estándares, lo que excluye herramientas de consumo sin controles verificables.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Ley 9/2017 de Contratos del Sector Público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28.1: </w:t>
      </w:r>
      <w:r>
        <w:rPr>
          <w:rFonts w:ascii="Arial" w:cs="Arial" w:eastAsia="Arial" w:hAnsi="Arial"/>
          <w:sz w:val="20"/>
          <w:szCs w:val="20"/>
        </w:rPr>
        <w:t xml:space="preserve">Las entidades del sector público no podrán celebrar otros contratos que aquellos necesarios para el cumplimiento de sus fines institucionales, exigiendo determinación precisa de necesidades.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Arts. 122 y 124: </w:t>
      </w:r>
      <w:r>
        <w:rPr>
          <w:rFonts w:ascii="Arial" w:cs="Arial" w:eastAsia="Arial" w:hAnsi="Arial"/>
          <w:sz w:val="20"/>
          <w:szCs w:val="20"/>
        </w:rPr>
        <w:t xml:space="preserve">Exigen pliegos de cláusulas administrativas y prescripciones técnicas que, para servicios cloud y SaaS, deben incorporar: conformidad ENS, localización de datos, SLA, derechos de auditoría, gestión de incidentes, portabilidad y estrategia de salida.</w:t>
      </w:r>
    </w:p>
    <w:p>
      <w:pPr>
        <w:spacing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62828" w:sz="1"/>
              <w:left w:val="single" w:color="C62828" w:sz="6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El uso de herramientas gratuitas elude la contratación pública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Aceptar Términos de Servicio de consumo NO constituye un contrato público conforme a la Ley 9/2017: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Sin justificación formal de necesidad (Art. 28)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Sin pliegos técnicos (Art. 124)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Sin fiscalización del gasto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Sin SLA ni garantías de continuidad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Sin cláusula de conformidad ENS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Sin garantías de portabilidad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Reglamento de IA de la UE (2024/1689)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El Reglamento de Inteligencia Artificial introduce un nuevo estrato regulatorio con implicaciones directas para el sector público. Su aplicación es progresiva:</w:t>
      </w:r>
    </w:p>
    <w:p>
      <w:pPr>
        <w:spacing w:before="1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Obligaciones que entran en vigor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 febrero 2025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Prácticas prohibidas (Art. 5) y alfabetización en IA (Art. 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 agosto 2025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Normas sobre modelos de propósito general, gobernanza y sanciones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 agosto 2026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Sistemas de alto riesgo, obligaciones de deployers, transparencia (Art. 50)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Obligaciones para organismos públicos como deployers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26 — Obligaciones de los responsables del despliegue: </w:t>
      </w:r>
      <w:r>
        <w:rPr>
          <w:rFonts w:ascii="Arial" w:cs="Arial" w:eastAsia="Arial" w:hAnsi="Arial"/>
          <w:sz w:val="20"/>
          <w:szCs w:val="20"/>
        </w:rPr>
        <w:t xml:space="preserve">Implementar medidas técnicas y organizativas apropiadas; asignar supervisión humana a personas competentes y formadas; conservar registros generados automáticamente durante mínimo 6 meses; y verificar que el sistema esté registrado en la base de datos de la UE antes de utilizarlo.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27 — Evaluación de Impacto en Derechos Fundamentales (EIDF): </w:t>
      </w:r>
      <w:r>
        <w:rPr>
          <w:rFonts w:ascii="Arial" w:cs="Arial" w:eastAsia="Arial" w:hAnsi="Arial"/>
          <w:sz w:val="20"/>
          <w:szCs w:val="20"/>
        </w:rPr>
        <w:t xml:space="preserve">Obligatoria para organismos de Derecho público antes del despliegue de cualquier sistema de alto riesgo. Debe incluir descripción de procesos, categorías de personas afectadas, riesgos específicos y medidas de supervisión humana. Complementa (no sustituye) la EIPD del Art. 35 RGPD.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Art. 50 — Transparencia (desde 2 agosto 2026): </w:t>
      </w:r>
      <w:r>
        <w:rPr>
          <w:rFonts w:ascii="Arial" w:cs="Arial" w:eastAsia="Arial" w:hAnsi="Arial"/>
          <w:sz w:val="20"/>
          <w:szCs w:val="20"/>
        </w:rPr>
        <w:t xml:space="preserve">Los proveedores de sistemas que interactúen con personas deben informarles de que interactúan con IA. Los deployers que generen contenido sintético deben revelar su origen artificial.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Régimen sancionador (Art. 99)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Hasta 35 M€ o 7% volumen negocio: </w:t>
      </w:r>
      <w:r>
        <w:rPr>
          <w:rFonts w:ascii="Arial" w:cs="Arial" w:eastAsia="Arial" w:hAnsi="Arial"/>
          <w:sz w:val="20"/>
          <w:szCs w:val="20"/>
        </w:rPr>
        <w:t xml:space="preserve">por prácticas prohibidas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Hasta 15 M€ o 3% volumen negocio: </w:t>
      </w:r>
      <w:r>
        <w:rPr>
          <w:rFonts w:ascii="Arial" w:cs="Arial" w:eastAsia="Arial" w:hAnsi="Arial"/>
          <w:sz w:val="20"/>
          <w:szCs w:val="20"/>
        </w:rPr>
        <w:t xml:space="preserve">por incumplimiento de obligaciones de deployers (Art. 26) o transparencia (Art. 50)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Hasta 7,5 M€ o 1% volumen negocio: </w:t>
      </w:r>
      <w:r>
        <w:rPr>
          <w:rFonts w:ascii="Arial" w:cs="Arial" w:eastAsia="Arial" w:hAnsi="Arial"/>
          <w:sz w:val="20"/>
          <w:szCs w:val="20"/>
        </w:rPr>
        <w:t xml:space="preserve">por información incorrecta a las autoridades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Supervisión en España: AESIA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La Agencia Española de Supervisión de la Inteligencia Artificial (AESIA), creada por RD 729/2023 con sede en A Coruña, fue la primera autoridad de supervisión de IA de la UE. Ejerce funciones desde febrero de 2025 y publicó en diciembre de 2025 dieciséis guías de cumplimiento (761 páginas) sobre evaluación de conformidad, gestión de calidad, riesgos, supervisión humana, gobernanza de datos, transparencia, precisión, robustez, ciberseguridad y documentación técnica.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Precedentes regulatorios y acciones de aplicación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Multa del Garante italiano a OpenAI (diciembre 2024): </w:t>
      </w:r>
      <w:r>
        <w:rPr>
          <w:rFonts w:ascii="Arial" w:cs="Arial" w:eastAsia="Arial" w:hAnsi="Arial"/>
          <w:sz w:val="20"/>
          <w:szCs w:val="20"/>
        </w:rPr>
        <w:t xml:space="preserve">15 millones de euros. Violaciones declaradas: tratamiento sin base jurídica adecuada para entrenamiento de ChatGPT (Arts. 5.1.a, 5.2, 6 RGPD), información de privacidad insuficiente (Arts. 12, 13), medidas organizativas inadecuadas (Art. 24), ausencia de verificación de edad (Art. 25) y falta de notificación de brecha de datos (Art. 33). Se ordenó campaña informativa de seis meses.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Dictamen CEPD 28/2024 (17 diciembre 2024): </w:t>
      </w:r>
      <w:r>
        <w:rPr>
          <w:rFonts w:ascii="Arial" w:cs="Arial" w:eastAsia="Arial" w:hAnsi="Arial"/>
          <w:sz w:val="20"/>
          <w:szCs w:val="20"/>
        </w:rPr>
        <w:t xml:space="preserve">Los responsables que desplieguen modelos de IA deben verificar si el modelo fue desarrollado lícitamente. Implica obligación de due diligence sobre el proveedor de IA.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AEPD — Política de uso de IA generativa (noviembre 2025): </w:t>
      </w:r>
      <w:r>
        <w:rPr>
          <w:rFonts w:ascii="Arial" w:cs="Arial" w:eastAsia="Arial" w:hAnsi="Arial"/>
          <w:sz w:val="20"/>
          <w:szCs w:val="20"/>
        </w:rPr>
        <w:t xml:space="preserve">Primera política del sector público español que establece principios de transparencia, seguridad, trazabilidad y supervisión humana obligatoria.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CCN-CERT: </w:t>
      </w:r>
      <w:r>
        <w:rPr>
          <w:rFonts w:ascii="Arial" w:cs="Arial" w:eastAsia="Arial" w:hAnsi="Arial"/>
          <w:sz w:val="20"/>
          <w:szCs w:val="20"/>
        </w:rPr>
        <w:t xml:space="preserve">Guía CCN-STIC-884D para configuración segura de IA en Azure. Informe BP/30 sobre IA y ciberseguridad. Guía CCN-STIC-823 sobre servicios en la nube con requisitos de contrato formal, DPA, medidas ENS, SLA y notificación de incidentes al CCN-CERT.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Diferencias determinantes: versión gratuita vs. empresarial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La siguiente tabla sintetiza las diferencias que hacen que las versiones empresariales cumplan la normativa mientras las gratuitas la incumplen:</w:t>
      </w:r>
    </w:p>
    <w:p>
      <w:pPr>
        <w:spacing w:before="1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 normativo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Versión gratuita / consumo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Versión empresarial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DPA (Art. 28.3 RGPD)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No disponible en ningún proveedor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Disponible en todos los proveedores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Entrenamiento con datos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Activado por defecto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Contractualmente prohibido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Residencia datos 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Sin garantías; datos en EE.UU.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Configurable: UE, EE.UU., otros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Certificaciones seguridad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No aplicables al producto consumo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 2, ISO 27001/42001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Certificación ENS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Microsoft: ENS ALTA (IA incl.); AWS/Google: ENS 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Controles admin (SSO/SCIM)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Sin consola, sin SSO, sin SCIM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SSO/SAML, SCIM, RBAC, consola completa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Registros de auditoría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Inexistentes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Completos, API de conformidad, exportables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SLA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Sin garantías de servicio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SLA contractual con soporte prioritario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Retención configurable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30 días a 5 años; sin control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Configurable; opción retención cero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Revisión humana datos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7"/>
                <w:szCs w:val="17"/>
              </w:rPr>
              <w:t xml:space="preserve">Posible (Gemini free: sí explícito)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Contractualmente excluida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Los ocho riesgos jurídicos concretos del uso de versiones gratuitas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Cada uno de los siguientes supuestos constituye una infracción autónoma de una o más normas:</w:t>
      </w:r>
    </w:p>
    <w:p>
      <w:pPr>
        <w:spacing w:before="20"/>
      </w:pP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Entrenamiento con datos ciudadanos. </w:t>
      </w:r>
      <w:r>
        <w:rPr>
          <w:rFonts w:ascii="Arial" w:cs="Arial" w:eastAsia="Arial" w:hAnsi="Arial"/>
          <w:sz w:val="20"/>
          <w:szCs w:val="20"/>
        </w:rPr>
        <w:t xml:space="preserve">ChatGPT Free, Gemini Free y Claude Free utilizan por defecto los datos introducidos para entrenar modelos. Tratamiento ulterior incompatible (Art. 5.1.b RGPD) y cesión sin base jurídica.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Ausencia de DPA. </w:t>
      </w:r>
      <w:r>
        <w:rPr>
          <w:rFonts w:ascii="Arial" w:cs="Arial" w:eastAsia="Arial" w:hAnsi="Arial"/>
          <w:sz w:val="20"/>
          <w:szCs w:val="20"/>
        </w:rPr>
        <w:t xml:space="preserve">Sin contrato de encargado, el organismo incumple Art. 28.3 RGPD, Art. 33 LOPDGDD y DA 1ª LOPDGDD.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Falta de registros de auditoría. </w:t>
      </w:r>
      <w:r>
        <w:rPr>
          <w:rFonts w:ascii="Arial" w:cs="Arial" w:eastAsia="Arial" w:hAnsi="Arial"/>
          <w:sz w:val="20"/>
          <w:szCs w:val="20"/>
        </w:rPr>
        <w:t xml:space="preserve">El ENS (Art. 24, RD 311/2022) exige registro de actividad. Sin registros exportables, imposible demostrar cumplimiento.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Transferencias internacionales sin garantías. </w:t>
      </w:r>
      <w:r>
        <w:rPr>
          <w:rFonts w:ascii="Arial" w:cs="Arial" w:eastAsia="Arial" w:hAnsi="Arial"/>
          <w:sz w:val="20"/>
          <w:szCs w:val="20"/>
        </w:rPr>
        <w:t xml:space="preserve">Datos en EE.UU. sin CCT, sin verificación DPF, sin medidas suplementarias. Vulnera Arts. 44-49 RGPD.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Ausencia de controles de identidad. </w:t>
      </w:r>
      <w:r>
        <w:rPr>
          <w:rFonts w:ascii="Arial" w:cs="Arial" w:eastAsia="Arial" w:hAnsi="Arial"/>
          <w:sz w:val="20"/>
          <w:szCs w:val="20"/>
        </w:rPr>
        <w:t xml:space="preserve">Sin SSO/SAML, sin RBAC, sin revocación al cesar un empleado. Incumple medidas [op.acc] del Anexo II ENS. Shadow IT ingobernable.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Sin SLA ni continuidad del servicio. </w:t>
      </w:r>
      <w:r>
        <w:rPr>
          <w:rFonts w:ascii="Arial" w:cs="Arial" w:eastAsia="Arial" w:hAnsi="Arial"/>
          <w:sz w:val="20"/>
          <w:szCs w:val="20"/>
        </w:rPr>
        <w:t xml:space="preserve">Incumple Art. 26 ENS (RD 311/2022), CCN-STIC-823 y requisitos contractuales Ley 9/2017.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Riesgos de propiedad intelectual. </w:t>
      </w:r>
      <w:r>
        <w:rPr>
          <w:rFonts w:ascii="Arial" w:cs="Arial" w:eastAsia="Arial" w:hAnsi="Arial"/>
          <w:sz w:val="20"/>
          <w:szCs w:val="20"/>
        </w:rPr>
        <w:t xml:space="preserve">Términos de Servicio gratuitos otorgan derechos al proveedor. La protección de PI (Customer Copyright Commitment de Microsoft) solo aplica a clientes empresariales.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Incumplimiento de contratación pública. </w:t>
      </w:r>
      <w:r>
        <w:rPr>
          <w:rFonts w:ascii="Arial" w:cs="Arial" w:eastAsia="Arial" w:hAnsi="Arial"/>
          <w:sz w:val="20"/>
          <w:szCs w:val="20"/>
        </w:rPr>
        <w:t xml:space="preserve">Elude completamente la Ley 9/2017: sin Art. 28 (necesidad), sin Art. 124 (pliegos), sin fiscalización, sin rendición de cuentas.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Conclusión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El panorama regulatorio español y europeo configura una obligación jurídica inequívoca para los organismos públicos de utilizar exclusivamente versiones empresariales de herramientas de IA, adecuadamente contratadas y configuradas. No se trata de una cuestión de preferencia tecnológica sino de cumplimiento legal simultáneo de seis marcos normativos.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 partir del 2 de agosto de 2026, las obligaciones del Reglamento de IA —registro obligatorio, EIDF, supervisión humana, conservación de registros durante 6 meses— se sumarán a las existentes, con sanciones de hasta 35 millones de euros.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D32" w:sz="1"/>
              <w:left w:val="single" w:color="2E7D32" w:sz="6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Recomendación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decisión no es si adoptar IA en la Administración, sino cómo hacerlo lícitamente. Las versiones empresariales de los cuatro principales proveedores ofrecen las garantías contractuales, técnicas y organizativas necesarias para el cumplimiento normativo. Lo que no admite discusión jurídica es que las versiones gratuitas o de consumo están excluidas del ámbito de lo lícito para cualquier organismo público español.</w:t>
            </w:r>
          </w:p>
        </w:tc>
      </w:tr>
    </w:tbl>
    <w:p>
      <w:pPr>
        <w:spacing w:before="100"/>
      </w:pPr>
    </w:p>
    <w:p>
      <w:pPr>
        <w:pBdr>
          <w:top w:val="single" w:color="CCCCCC" w:sz="2" w:space="8"/>
        </w:pBdr>
        <w:jc w:val="center"/>
      </w:pPr>
    </w:p>
    <w:p>
      <w:pPr>
        <w:spacing w:before="2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Documento elaborado en febrero de 2026.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Fuentes: BOE, EUR-Lex, AEPD, CCN-CERT, AESIA, CEPD/EDPB, portales oficiales de proveedores.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Documento confidencial |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Justificación Legal: Licencias Corporativas de IA para Organismos Públicos | Febrero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2026-03-05T09:35:06.289Z</dcterms:created>
  <dcterms:modified xsi:type="dcterms:W3CDTF">2026-03-05T09:35:06.289Z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