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footer+xml" PartName="/word/footer5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40"/>
      </w:pPr>
      <w:r>
        <w:rPr>
          <w:rFonts w:ascii="Poppins" w:cs="Poppins" w:eastAsia="Poppins" w:hAnsi="Poppins"/>
          <w:b/>
          <w:bCs/>
          <w:color w:val="4F46E5"/>
          <w:spacing w:val="40"/>
          <w:sz w:val="18"/>
          <w:szCs w:val="18"/>
        </w:rPr>
        <w:t xml:space="preserve">NÓVARIS</w:t>
      </w:r>
    </w:p>
    <w:p>
      <w:pPr>
        <w:pBdr>
          <w:bottom w:val="single" w:color="312E81" w:sz="16" w:space="1"/>
        </w:pBdr>
        <w:spacing w:after="280" w:before="120"/>
        <w:ind w:right="4366"/>
      </w:pPr>
    </w:p>
    <w:p>
      <w:pPr>
        <w:pStyle w:val="Title"/>
      </w:pPr>
      <w:r>
        <w:t xml:space="preserve">Manual de vacaciones y permisos</w:t>
      </w:r>
    </w:p>
    <w:p>
      <w:pPr>
        <w:spacing w:after="320" w:before="200" w:line="330"/>
      </w:pPr>
      <w:r>
        <w:rPr>
          <w:rFonts w:ascii="Lora" w:cs="Lora" w:eastAsia="Lora" w:hAnsi="Lora"/>
          <w:i/>
          <w:iCs/>
          <w:color w:val="3C3D4A"/>
          <w:sz w:val="25"/>
          <w:szCs w:val="25"/>
        </w:rPr>
        <w:t xml:space="preserve">Cuántos días corresponden, cómo se piden y cómo quedan registradas las ausencias del personal de Nóvaris.</w:t>
      </w:r>
    </w:p>
    <w:tbl>
      <w:tblPr>
        <w:tblW w:type="dxa" w:w="65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60"/>
        <w:gridCol w:w="170"/>
        <w:gridCol w:w="2060"/>
        <w:gridCol w:w="170"/>
        <w:gridCol w:w="2060"/>
      </w:tblGrid>
      <w:tr>
        <w:trPr>
          <w:cantSplit/>
        </w:trPr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1FB" w:color="auto" w:val="clear"/>
            <w:tcMar>
              <w:top w:type="dxa" w:w="170"/>
              <w:left w:type="dxa" w:w="170"/>
              <w:bottom w:type="dxa" w:w="147"/>
              <w:right w:type="dxa" w:w="136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312E81"/>
                <w:sz w:val="36"/>
                <w:szCs w:val="36"/>
              </w:rPr>
              <w:t xml:space="preserve">22</w:t>
            </w: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 días</w:t>
            </w:r>
          </w:p>
          <w:p>
            <w:pPr>
              <w:spacing w:line="240"/>
            </w:pPr>
            <w:r>
              <w:rPr>
                <w:rFonts w:ascii="Poppins" w:cs="Poppins" w:eastAsia="Poppins" w:hAnsi="Poppins"/>
                <w:color w:val="6E7180"/>
                <w:sz w:val="13"/>
                <w:szCs w:val="13"/>
              </w:rPr>
              <w:t xml:space="preserve">hábiles de vacaciones por año natural completo trabajado</w:t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1FB" w:color="auto" w:val="clear"/>
            <w:tcMar>
              <w:top w:type="dxa" w:w="170"/>
              <w:left w:type="dxa" w:w="170"/>
              <w:bottom w:type="dxa" w:w="147"/>
              <w:right w:type="dxa" w:w="136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312E81"/>
                <w:sz w:val="36"/>
                <w:szCs w:val="36"/>
              </w:rPr>
              <w:t xml:space="preserve">15</w:t>
            </w: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 días</w:t>
            </w:r>
          </w:p>
          <w:p>
            <w:pPr>
              <w:spacing w:line="240"/>
            </w:pPr>
            <w:r>
              <w:rPr>
                <w:rFonts w:ascii="Poppins" w:cs="Poppins" w:eastAsia="Poppins" w:hAnsi="Poppins"/>
                <w:color w:val="6E7180"/>
                <w:sz w:val="13"/>
                <w:szCs w:val="13"/>
              </w:rPr>
              <w:t xml:space="preserve">naturales de antelación para pedir vacaciones</w:t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3E9" w:color="auto" w:val="clear"/>
            <w:tcMar>
              <w:top w:type="dxa" w:w="170"/>
              <w:left w:type="dxa" w:w="170"/>
              <w:bottom w:type="dxa" w:w="147"/>
              <w:right w:type="dxa" w:w="136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C26A22"/>
                <w:sz w:val="36"/>
                <w:szCs w:val="36"/>
              </w:rPr>
              <w:t xml:space="preserve">4</w:t>
            </w:r>
            <w:r>
              <w:rPr>
                <w:rFonts w:ascii="Poppins" w:cs="Poppins" w:eastAsia="Poppins" w:hAnsi="Poppins"/>
                <w:b/>
                <w:bCs/>
                <w:color w:val="E0833B"/>
                <w:sz w:val="16"/>
                <w:szCs w:val="16"/>
              </w:rPr>
              <w:t xml:space="preserve"> días</w:t>
            </w:r>
          </w:p>
          <w:p>
            <w:pPr>
              <w:spacing w:line="240"/>
            </w:pPr>
            <w:r>
              <w:rPr>
                <w:rFonts w:ascii="Poppins" w:cs="Poppins" w:eastAsia="Poppins" w:hAnsi="Poppins"/>
                <w:color w:val="6E7180"/>
                <w:sz w:val="13"/>
                <w:szCs w:val="13"/>
              </w:rPr>
              <w:t xml:space="preserve">de asuntos propios al año</w:t>
            </w:r>
          </w:p>
        </w:tc>
      </w:tr>
    </w:tbl>
    <w:p>
      <w:pPr>
        <w:spacing w:after="360" w:before="0"/>
      </w:pPr>
    </w:p>
    <w:p>
      <w:pPr>
        <w:spacing w:after="120" w:before="0"/>
      </w:pPr>
      <w:r>
        <w:rPr>
          <w:rFonts w:ascii="Poppins" w:cs="Poppins" w:eastAsia="Poppins" w:hAnsi="Poppins"/>
          <w:b/>
          <w:bCs/>
          <w:color w:val="4F46E5"/>
          <w:spacing w:val="30"/>
          <w:sz w:val="17"/>
          <w:szCs w:val="17"/>
        </w:rPr>
        <w:t xml:space="preserve">CAPÍTULO 1</w:t>
      </w:r>
    </w:p>
    <w:p>
      <w:pPr>
        <w:pStyle w:val="Heading1"/>
      </w:pPr>
      <w:r>
        <w:t xml:space="preserve">Introducción</w:t>
      </w:r>
    </w:p>
    <w:p>
      <w:pPr>
        <w:pBdr>
          <w:bottom w:val="single" w:color="4F46E5" w:sz="12" w:space="1"/>
        </w:pBdr>
        <w:spacing w:after="240" w:before="160"/>
        <w:ind w:right="3912"/>
      </w:pPr>
    </w:p>
    <w:p>
      <w:pPr>
        <w:spacing w:after="200" w:before="0" w:line="336"/>
      </w:pPr>
      <w:r>
        <w:rPr>
          <w:rFonts w:ascii="Lora" w:cs="Lora" w:eastAsia="Lora" w:hAnsi="Lora"/>
          <w:color w:val="33343F"/>
          <w:sz w:val="23"/>
          <w:szCs w:val="23"/>
        </w:rPr>
        <w:t xml:space="preserve">Qué regula esta política y cuántos días de vacaciones corresponden a cada persona.</w:t>
      </w:r>
    </w:p>
    <w:p>
      <w:pPr>
        <w:pStyle w:val="Body"/>
      </w:pPr>
      <w:r>
        <w:t xml:space="preserve">Esta política regula las </w:t>
      </w:r>
      <w:r>
        <w:rPr>
          <w:b/>
          <w:bCs/>
        </w:rPr>
        <w:t xml:space="preserve">vacaciones y los permisos</w:t>
      </w:r>
      <w:r>
        <w:t xml:space="preserve"> del personal de Nóvaris. Reúne en un solo documento lo que conviene tener claro antes de pedir unos días libres: cuántos corresponden, con cuánta antelación se piden, qué ocurre si dos solicitudes coinciden y cómo queda constancia de cada ausencia.</w:t>
      </w:r>
    </w:p>
    <w:p>
      <w:pPr>
        <w:pStyle w:val="Heading2"/>
      </w:pPr>
      <w:r>
        <w:t xml:space="preserve">Días de vacaciones</w:t>
      </w:r>
    </w:p>
    <w:p>
      <w:pPr>
        <w:pStyle w:val="Body"/>
      </w:pPr>
      <w:r>
        <w:t xml:space="preserve">Cada persona dispone de </w:t>
      </w:r>
      <w:r>
        <w:rPr>
          <w:b/>
          <w:bCs/>
        </w:rPr>
        <w:t xml:space="preserve">22 días hábiles</w:t>
      </w:r>
      <w:r>
        <w:t xml:space="preserve"> de vacaciones por </w:t>
      </w:r>
      <w:r>
        <w:rPr>
          <w:b/>
          <w:bCs/>
        </w:rPr>
        <w:t xml:space="preserve">año natural completo</w:t>
      </w:r>
      <w:r>
        <w:t xml:space="preserve"> trabajado.</w:t>
      </w:r>
    </w:p>
    <w:p>
      <w:pPr>
        <w:pStyle w:val="Body"/>
      </w:pPr>
      <w:r>
        <w:t xml:space="preserve">En esa frase hay dos detalles que importan. Las vacaciones se cuentan en días hábiles, no en días de calendario. Y la referencia es el año natural, del 1 de enero al 31 de diciembre, trabajado de forma completa.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143375" cy="2400300"/>
            <wp:effectExtent t="0" r="0" b="0" l="0"/>
            <wp:docPr id="1" name="fig1.png" descr="Figura 1. Planificación de vacaciones" title="Figura 1. Planificación de vac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9E8" w:sz="4" w:space="4"/>
        </w:pBdr>
        <w:spacing w:after="200" w:before="0"/>
      </w:pPr>
      <w:r>
        <w:rPr>
          <w:rFonts w:ascii="Poppins" w:cs="Poppins" w:eastAsia="Poppins" w:hAnsi="Poppins"/>
          <w:b/>
          <w:bCs/>
          <w:color w:val="312E81"/>
          <w:sz w:val="15"/>
          <w:szCs w:val="15"/>
        </w:rPr>
        <w:t xml:space="preserve">Figura 1.</w:t>
      </w:r>
      <w:r>
        <w:rPr>
          <w:rFonts w:ascii="Poppins" w:cs="Poppins" w:eastAsia="Poppins" w:hAnsi="Poppins"/>
          <w:color w:val="6E7180"/>
          <w:sz w:val="15"/>
          <w:szCs w:val="15"/>
        </w:rPr>
        <w:t xml:space="preserve"> Planificación de vacaciones</w:t>
      </w:r>
    </w:p>
    <w:tbl>
      <w:tblPr>
        <w:tblW w:type="dxa" w:w="6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20"/>
      </w:tblGrid>
      <w:tr>
        <w:trPr>
          <w:cantSplit/>
        </w:trPr>
        <w:tc>
          <w:tcPr>
            <w:tcW w:type="dxa" w:w="6520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F1F1FB" w:color="auto" w:val="clear"/>
            <w:tcMar>
              <w:top w:type="dxa" w:w="204"/>
              <w:left w:type="dxa" w:w="261"/>
              <w:bottom w:type="dxa" w:w="181"/>
              <w:right w:type="dxa" w:w="261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4F46E5"/>
                <w:spacing w:val="24"/>
                <w:sz w:val="15"/>
                <w:szCs w:val="15"/>
              </w:rPr>
              <w:t xml:space="preserve">DOS FORMAS DE CONTAR LOS DÍAS</w:t>
            </w:r>
          </w:p>
          <w:p>
            <w:pPr>
              <w:spacing w:after="0" w:line="300"/>
            </w:pPr>
            <w:r>
              <w:rPr>
                <w:rFonts w:ascii="Lora" w:cs="Lora" w:eastAsia="Lora" w:hAnsi="Lora"/>
                <w:color w:val="191A23"/>
                <w:sz w:val="19"/>
                <w:szCs w:val="19"/>
              </w:rPr>
              <w:t xml:space="preserve">Este manual usa dos unidades distintas. Las vacaciones se cuentan en </w:t>
            </w:r>
            <w:r>
              <w:rPr>
                <w:rFonts w:ascii="Lora" w:cs="Lora" w:eastAsia="Lora" w:hAnsi="Lora"/>
                <w:b/>
                <w:bCs/>
                <w:color w:val="191A23"/>
                <w:sz w:val="19"/>
                <w:szCs w:val="19"/>
              </w:rPr>
              <w:t xml:space="preserve">días hábiles</w:t>
            </w:r>
            <w:r>
              <w:rPr>
                <w:rFonts w:ascii="Lora" w:cs="Lora" w:eastAsia="Lora" w:hAnsi="Lora"/>
                <w:color w:val="191A23"/>
                <w:sz w:val="19"/>
                <w:szCs w:val="19"/>
              </w:rPr>
              <w:t xml:space="preserve">. La antelación con la que se piden se cuenta en </w:t>
            </w:r>
            <w:r>
              <w:rPr>
                <w:rFonts w:ascii="Lora" w:cs="Lora" w:eastAsia="Lora" w:hAnsi="Lora"/>
                <w:b/>
                <w:bCs/>
                <w:color w:val="191A23"/>
                <w:sz w:val="19"/>
                <w:szCs w:val="19"/>
              </w:rPr>
              <w:t xml:space="preserve">días naturales</w:t>
            </w:r>
            <w:r>
              <w:rPr>
                <w:rFonts w:ascii="Lora" w:cs="Lora" w:eastAsia="Lora" w:hAnsi="Lora"/>
                <w:color w:val="191A23"/>
                <w:sz w:val="19"/>
                <w:szCs w:val="19"/>
              </w:rPr>
              <w:t xml:space="preserve">, es decir, todos los días del calendario seguidos, sin saltarse ninguno. No es lo mismo «22 días» de vacaciones que «15 días» de antelación.</w:t>
            </w:r>
          </w:p>
        </w:tc>
      </w:tr>
    </w:tbl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8504" w:h="12813" w:orient="portrait"/>
          <w:pgMar w:top="1077" w:right="850" w:bottom="964" w:left="1134" w:header="510" w:footer="454" w:gutter="0"/>
          <w:pgNumType/>
          <w:titlePg/>
          <w:docGrid w:linePitch="360"/>
        </w:sectPr>
      </w:pPr>
    </w:p>
    <w:p>
      <w:pPr>
        <w:spacing w:after="120" w:before="0"/>
      </w:pPr>
      <w:r>
        <w:rPr>
          <w:rFonts w:ascii="Poppins" w:cs="Poppins" w:eastAsia="Poppins" w:hAnsi="Poppins"/>
          <w:b/>
          <w:bCs/>
          <w:color w:val="4F46E5"/>
          <w:spacing w:val="30"/>
          <w:sz w:val="17"/>
          <w:szCs w:val="17"/>
        </w:rPr>
        <w:t xml:space="preserve">CAPÍTULO 2</w:t>
      </w:r>
    </w:p>
    <w:p>
      <w:pPr>
        <w:keepNext/>
        <w:spacing w:after="0" w:before="0" w:line="1280" w:lineRule="exact"/>
      </w:pPr>
      <w:r>
        <w:rPr>
          <w:rFonts w:ascii="Poppins" w:cs="Poppins" w:eastAsia="Poppins" w:hAnsi="Poppins"/>
          <w:b/>
          <w:bCs/>
          <w:color w:val="312E81"/>
          <w:sz w:val="116"/>
          <w:szCs w:val="116"/>
        </w:rPr>
        <w:t xml:space="preserve">0</w:t>
      </w:r>
      <w:r>
        <w:rPr>
          <w:rFonts w:ascii="Poppins" w:cs="Poppins" w:eastAsia="Poppins" w:hAnsi="Poppins"/>
          <w:b/>
          <w:bCs/>
          <w:color w:val="4F46E5"/>
          <w:sz w:val="116"/>
          <w:szCs w:val="116"/>
        </w:rPr>
        <w:t xml:space="preserve">2</w:t>
      </w:r>
    </w:p>
    <w:p>
      <w:pPr>
        <w:pStyle w:val="Heading1"/>
      </w:pPr>
      <w:r>
        <w:t xml:space="preserve">Solicitud y aprobación</w:t>
      </w:r>
    </w:p>
    <w:p>
      <w:pPr>
        <w:pBdr>
          <w:bottom w:val="single" w:color="4F46E5" w:sz="12" w:space="1"/>
        </w:pBdr>
        <w:spacing w:after="240" w:before="160"/>
        <w:ind w:right="3912"/>
      </w:pPr>
    </w:p>
    <w:p>
      <w:pPr>
        <w:spacing w:after="200" w:before="0" w:line="336"/>
      </w:pPr>
      <w:r>
        <w:rPr>
          <w:rFonts w:ascii="Lora" w:cs="Lora" w:eastAsia="Lora" w:hAnsi="Lora"/>
          <w:color w:val="33343F"/>
          <w:sz w:val="23"/>
          <w:szCs w:val="23"/>
        </w:rPr>
        <w:t xml:space="preserve">Las vacaciones se piden con antelación y, cuando dos solicitudes no son compatibles, decide el orden en que se registraron.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143375" cy="2543175"/>
            <wp:effectExtent t="0" r="0" b="0" l="0"/>
            <wp:docPr id="1" name="fig2.png" descr="Figura 2. Solicitud y aprobación" title="Figura 2. Solicitud y aprob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9E8" w:sz="4" w:space="4"/>
        </w:pBdr>
        <w:spacing w:after="200" w:before="0"/>
      </w:pPr>
      <w:r>
        <w:rPr>
          <w:rFonts w:ascii="Poppins" w:cs="Poppins" w:eastAsia="Poppins" w:hAnsi="Poppins"/>
          <w:b/>
          <w:bCs/>
          <w:color w:val="312E81"/>
          <w:sz w:val="15"/>
          <w:szCs w:val="15"/>
        </w:rPr>
        <w:t xml:space="preserve">Figura 2.</w:t>
      </w:r>
      <w:r>
        <w:rPr>
          <w:rFonts w:ascii="Poppins" w:cs="Poppins" w:eastAsia="Poppins" w:hAnsi="Poppins"/>
          <w:color w:val="6E7180"/>
          <w:sz w:val="15"/>
          <w:szCs w:val="15"/>
        </w:rPr>
        <w:t xml:space="preserve"> Solicitud y aprobación</w:t>
      </w:r>
    </w:p>
    <w:tbl>
      <w:tblPr>
        <w:tblW w:type="dxa" w:w="6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20"/>
      </w:tblGrid>
      <w:tr>
        <w:trPr>
          <w:cantSplit/>
        </w:trPr>
        <w:tc>
          <w:tcPr>
            <w:tcW w:type="dxa" w:w="6520"/>
            <w:tcBorders>
              <w:top w:val="none" w:color="FFFFFF" w:sz="0"/>
              <w:left w:val="single" w:color="E0833B" w:sz="24"/>
              <w:bottom w:val="none" w:color="FFFFFF" w:sz="0"/>
              <w:right w:val="none" w:color="FFFFFF" w:sz="0"/>
            </w:tcBorders>
            <w:shd w:fill="FCF3E9" w:color="auto" w:val="clear"/>
            <w:tcMar>
              <w:top w:type="dxa" w:w="204"/>
              <w:left w:type="dxa" w:w="261"/>
              <w:bottom w:type="dxa" w:w="181"/>
              <w:right w:type="dxa" w:w="261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C26A22"/>
                <w:spacing w:val="24"/>
                <w:sz w:val="15"/>
                <w:szCs w:val="15"/>
              </w:rPr>
              <w:t xml:space="preserve">CUANDO DOS SOLICITUDES CHOCAN</w:t>
            </w:r>
          </w:p>
          <w:p>
            <w:pPr>
              <w:spacing w:after="0" w:line="300"/>
            </w:pPr>
            <w:r>
              <w:rPr>
                <w:rFonts w:ascii="Lora" w:cs="Lora" w:eastAsia="Lora" w:hAnsi="Lora"/>
                <w:color w:val="191A23"/>
                <w:sz w:val="19"/>
                <w:szCs w:val="19"/>
              </w:rPr>
              <w:t xml:space="preserve">En caso de conflicto entre solicitudes incompatibles, </w:t>
            </w:r>
            <w:r>
              <w:rPr>
                <w:rFonts w:ascii="Lora" w:cs="Lora" w:eastAsia="Lora" w:hAnsi="Lora"/>
                <w:b/>
                <w:bCs/>
                <w:color w:val="191A23"/>
                <w:sz w:val="19"/>
                <w:szCs w:val="19"/>
              </w:rPr>
              <w:t xml:space="preserve">prevalece la registrada antes</w:t>
            </w:r>
            <w:r>
              <w:rPr>
                <w:rFonts w:ascii="Lora" w:cs="Lora" w:eastAsia="Lora" w:hAnsi="Lora"/>
                <w:color w:val="191A23"/>
                <w:sz w:val="19"/>
                <w:szCs w:val="19"/>
              </w:rPr>
              <w:t xml:space="preserve">. El criterio es el orden de registro, así que registrar la solicitud en cuanto las fechas estén decididas juega a favor de quien lo hace primero.</w:t>
            </w:r>
          </w:p>
        </w:tc>
      </w:tr>
    </w:tbl>
    <w:p>
      <w:pPr>
        <w:pStyle w:val="Heading2"/>
      </w:pPr>
      <w:r>
        <w:t xml:space="preserve">El proceso, paso a paso</w:t>
      </w:r>
    </w:p>
    <w:tbl>
      <w:tblPr>
        <w:tblW w:type="dxa" w:w="65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2"/>
        <w:gridCol w:w="5868"/>
      </w:tblGrid>
      <w:tr>
        <w:trPr>
          <w:cantSplit/>
        </w:trPr>
        <w:tc>
          <w:tcPr>
            <w:tcW w:type="dxa" w:w="6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47"/>
              <w:right w:type="dxa" w:w="0"/>
            </w:tcMar>
          </w:tcPr>
          <w:p>
            <w:r>
              <w:drawing>
                <wp:inline distT="0" distB="0" distL="0" distR="0">
                  <wp:extent cx="285750" cy="285750"/>
                  <wp:effectExtent t="0" r="0" b="0" l="0"/>
                  <wp:docPr id="1" name="num1" descr="Paso 1" title="Paso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0"/>
              <w:bottom w:type="dxa" w:w="147"/>
              <w:right w:type="dxa" w:w="0"/>
            </w:tcMar>
          </w:tcPr>
          <w:p>
            <w:pPr>
              <w:pStyle w:val="ItemTitle"/>
              <w:ind w:left="0"/>
            </w:pPr>
            <w:r>
              <w:t xml:space="preserve">Decide las fechas</w:t>
            </w:r>
          </w:p>
          <w:p>
            <w:pPr>
              <w:pStyle w:val="ItemBody"/>
              <w:ind w:left="0"/>
            </w:pPr>
            <w:r>
              <w:t xml:space="preserve">Ten claro qué días quieres disfrutar antes de pedirlos. La antelación se cuenta desde el día en que presentas la solicitud hasta el primer día de vacaciones.</w:t>
            </w:r>
          </w:p>
        </w:tc>
      </w:tr>
      <w:tr>
        <w:trPr>
          <w:cantSplit/>
        </w:trPr>
        <w:tc>
          <w:tcPr>
            <w:tcW w:type="dxa" w:w="6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47"/>
              <w:right w:type="dxa" w:w="0"/>
            </w:tcMar>
          </w:tcPr>
          <w:p>
            <w:r>
              <w:drawing>
                <wp:inline distT="0" distB="0" distL="0" distR="0">
                  <wp:extent cx="285750" cy="285750"/>
                  <wp:effectExtent t="0" r="0" b="0" l="0"/>
                  <wp:docPr id="1" name="num2" descr="Paso 2" title="Paso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0"/>
              <w:bottom w:type="dxa" w:w="147"/>
              <w:right w:type="dxa" w:w="0"/>
            </w:tcMar>
          </w:tcPr>
          <w:p>
            <w:pPr>
              <w:pStyle w:val="ItemTitle"/>
              <w:ind w:left="0"/>
            </w:pPr>
            <w:r>
              <w:t xml:space="preserve">Presenta la solicitud a tiempo</w:t>
            </w:r>
          </w:p>
          <w:p>
            <w:pPr>
              <w:pStyle w:val="ItemBody"/>
              <w:ind w:left="0"/>
            </w:pPr>
            <w:r>
              <w:t xml:space="preserve">La solicitud debe presentarse con </w:t>
            </w:r>
            <w:r>
              <w:rPr>
                <w:b/>
                <w:bCs/>
              </w:rPr>
              <w:t xml:space="preserve">15 días naturales de antelación</w:t>
            </w:r>
            <w:r>
              <w:t xml:space="preserve">. Al ser naturales, en esa cuenta entran todos los días del calendario.</w:t>
            </w:r>
          </w:p>
        </w:tc>
      </w:tr>
      <w:tr>
        <w:trPr>
          <w:cantSplit/>
        </w:trPr>
        <w:tc>
          <w:tcPr>
            <w:tcW w:type="dxa" w:w="6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47"/>
              <w:right w:type="dxa" w:w="0"/>
            </w:tcMar>
          </w:tcPr>
          <w:p>
            <w:r>
              <w:drawing>
                <wp:inline distT="0" distB="0" distL="0" distR="0">
                  <wp:extent cx="285750" cy="285750"/>
                  <wp:effectExtent t="0" r="0" b="0" l="0"/>
                  <wp:docPr id="1" name="num3" descr="Paso 3" title="Paso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0"/>
              <w:bottom w:type="dxa" w:w="147"/>
              <w:right w:type="dxa" w:w="0"/>
            </w:tcMar>
          </w:tcPr>
          <w:p>
            <w:pPr>
              <w:pStyle w:val="ItemTitle"/>
              <w:ind w:left="0"/>
            </w:pPr>
            <w:r>
              <w:t xml:space="preserve">Revisión de conflictos</w:t>
            </w:r>
          </w:p>
          <w:p>
            <w:pPr>
              <w:pStyle w:val="ItemBody"/>
              <w:ind w:left="0"/>
            </w:pPr>
            <w:r>
              <w:t xml:space="preserve">Si tu solicitud es incompatible con otra, </w:t>
            </w:r>
            <w:r>
              <w:rPr>
                <w:b/>
                <w:bCs/>
              </w:rPr>
              <w:t xml:space="preserve">prevalece la que se registró antes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6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47"/>
              <w:right w:type="dxa" w:w="0"/>
            </w:tcMar>
          </w:tcPr>
          <w:p>
            <w:r>
              <w:drawing>
                <wp:inline distT="0" distB="0" distL="0" distR="0">
                  <wp:extent cx="285750" cy="285750"/>
                  <wp:effectExtent t="0" r="0" b="0" l="0"/>
                  <wp:docPr id="1" name="num4" descr="Paso 4" title="Paso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0"/>
              <w:bottom w:type="dxa" w:w="147"/>
              <w:right w:type="dxa" w:w="0"/>
            </w:tcMar>
          </w:tcPr>
          <w:p>
            <w:pPr>
              <w:pStyle w:val="ItemTitle"/>
              <w:ind w:left="0"/>
            </w:pPr>
            <w:r>
              <w:t xml:space="preserve">Aprobación y registro</w:t>
            </w:r>
          </w:p>
          <w:p>
            <w:pPr>
              <w:pStyle w:val="ItemBody"/>
              <w:ind w:left="0"/>
            </w:pPr>
            <w:r>
              <w:t xml:space="preserve">La ausencia aprobada queda registrada. El capítulo 3 explica cómo se lleva ese registro.</w:t>
            </w:r>
          </w:p>
        </w:tc>
      </w:tr>
    </w:tbl>
    <w:p>
      <w:pPr>
        <w:pStyle w:val="Heading2"/>
      </w:pPr>
      <w:r>
        <w:t xml:space="preserve">Antes de enviar la solicitud</w:t>
      </w:r>
    </w:p>
    <w:p>
      <w:pPr>
        <w:pStyle w:val="ItemTitle"/>
        <w:pBdr>
          <w:left w:val="single" w:color="C9C9E8" w:sz="20" w:space="9"/>
        </w:pBdr>
      </w:pPr>
      <w:r>
        <w:t xml:space="preserve">La antelación</w:t>
      </w:r>
    </w:p>
    <w:p>
      <w:pPr>
        <w:pStyle w:val="ItemBody"/>
        <w:pBdr>
          <w:left w:val="single" w:color="C9C9E8" w:sz="20" w:space="9"/>
        </w:pBdr>
      </w:pPr>
      <w:r>
        <w:t xml:space="preserve">Entre el día en que la presentas y el primer día de vacaciones hay, como mínimo, 15 días naturales.</w:t>
      </w:r>
    </w:p>
    <w:p>
      <w:pPr>
        <w:pStyle w:val="ItemTitle"/>
        <w:pBdr>
          <w:left w:val="single" w:color="C9C9E8" w:sz="20" w:space="9"/>
        </w:pBdr>
      </w:pPr>
      <w:r>
        <w:t xml:space="preserve">La unidad de cuenta</w:t>
      </w:r>
    </w:p>
    <w:p>
      <w:pPr>
        <w:pStyle w:val="ItemBody"/>
        <w:pBdr>
          <w:left w:val="single" w:color="C9C9E8" w:sz="20" w:space="9"/>
        </w:pBdr>
      </w:pPr>
      <w:r>
        <w:t xml:space="preserve">Los días que pides están contados como días hábiles.</w:t>
      </w:r>
    </w:p>
    <w:p>
      <w:pPr>
        <w:pStyle w:val="ItemTitle"/>
        <w:pBdr>
          <w:left w:val="single" w:color="C9C9E8" w:sz="20" w:space="9"/>
        </w:pBdr>
      </w:pPr>
      <w:r>
        <w:t xml:space="preserve">El saldo del año</w:t>
      </w:r>
    </w:p>
    <w:p>
      <w:pPr>
        <w:pStyle w:val="ItemBody"/>
        <w:pBdr>
          <w:left w:val="single" w:color="C9C9E8" w:sz="20" w:space="9"/>
        </w:pBdr>
      </w:pPr>
      <w:r>
        <w:t xml:space="preserve">Los días pedidos caben dentro de los 22 días hábiles que corresponden por año natural completo trabajado.</w:t>
      </w:r>
    </w:p>
    <w:p>
      <w:pPr>
        <w:sectPr>
          <w:headerReference w:type="default" r:id="rId11"/>
          <w:headerReference w:type="first" r:id="rId12"/>
          <w:footerReference w:type="default" r:id="rId13"/>
          <w:footerReference w:type="first" r:id="rId14"/>
          <w:pgSz w:w="8504" w:h="12813" w:orient="portrait"/>
          <w:pgMar w:top="1077" w:right="850" w:bottom="964" w:left="1134" w:header="510" w:footer="454" w:gutter="0"/>
          <w:pgNumType/>
          <w:titlePg/>
          <w:docGrid w:linePitch="360"/>
        </w:sectPr>
      </w:pPr>
    </w:p>
    <w:p>
      <w:pPr>
        <w:spacing w:after="120" w:before="0"/>
      </w:pPr>
      <w:r>
        <w:rPr>
          <w:rFonts w:ascii="Poppins" w:cs="Poppins" w:eastAsia="Poppins" w:hAnsi="Poppins"/>
          <w:b/>
          <w:bCs/>
          <w:color w:val="4F46E5"/>
          <w:spacing w:val="30"/>
          <w:sz w:val="17"/>
          <w:szCs w:val="17"/>
        </w:rPr>
        <w:t xml:space="preserve">CAPÍTULO 3</w:t>
      </w:r>
    </w:p>
    <w:p>
      <w:pPr>
        <w:keepNext/>
        <w:spacing w:after="0" w:before="0" w:line="1280" w:lineRule="exact"/>
      </w:pPr>
      <w:r>
        <w:rPr>
          <w:rFonts w:ascii="Poppins" w:cs="Poppins" w:eastAsia="Poppins" w:hAnsi="Poppins"/>
          <w:b/>
          <w:bCs/>
          <w:color w:val="312E81"/>
          <w:sz w:val="116"/>
          <w:szCs w:val="116"/>
        </w:rPr>
        <w:t xml:space="preserve">0</w:t>
      </w:r>
      <w:r>
        <w:rPr>
          <w:rFonts w:ascii="Poppins" w:cs="Poppins" w:eastAsia="Poppins" w:hAnsi="Poppins"/>
          <w:b/>
          <w:bCs/>
          <w:color w:val="4F46E5"/>
          <w:sz w:val="116"/>
          <w:szCs w:val="116"/>
        </w:rPr>
        <w:t xml:space="preserve">3</w:t>
      </w:r>
    </w:p>
    <w:p>
      <w:pPr>
        <w:pStyle w:val="Heading1"/>
      </w:pPr>
      <w:r>
        <w:t xml:space="preserve">Permisos y registro</w:t>
      </w:r>
    </w:p>
    <w:p>
      <w:pPr>
        <w:pBdr>
          <w:bottom w:val="single" w:color="4F46E5" w:sz="12" w:space="1"/>
        </w:pBdr>
        <w:spacing w:after="240" w:before="160"/>
        <w:ind w:right="3912"/>
      </w:pPr>
    </w:p>
    <w:p>
      <w:pPr>
        <w:spacing w:after="200" w:before="0" w:line="336"/>
      </w:pPr>
      <w:r>
        <w:rPr>
          <w:rFonts w:ascii="Lora" w:cs="Lora" w:eastAsia="Lora" w:hAnsi="Lora"/>
          <w:color w:val="33343F"/>
          <w:sz w:val="23"/>
          <w:szCs w:val="23"/>
        </w:rPr>
        <w:t xml:space="preserve">Además de las vacaciones, cada año hay días de asuntos propios. Todas las ausencias aprobadas quedan registradas.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143375" cy="2114550"/>
            <wp:effectExtent t="0" r="0" b="0" l="0"/>
            <wp:docPr id="1" name="fig3.png" descr="Figura 3. Registro y control de ausencias" title="Figura 3. Registro y control de ausen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9E8" w:sz="4" w:space="4"/>
        </w:pBdr>
        <w:spacing w:after="200" w:before="0"/>
      </w:pPr>
      <w:r>
        <w:rPr>
          <w:rFonts w:ascii="Poppins" w:cs="Poppins" w:eastAsia="Poppins" w:hAnsi="Poppins"/>
          <w:b/>
          <w:bCs/>
          <w:color w:val="312E81"/>
          <w:sz w:val="15"/>
          <w:szCs w:val="15"/>
        </w:rPr>
        <w:t xml:space="preserve">Figura 3.</w:t>
      </w:r>
      <w:r>
        <w:rPr>
          <w:rFonts w:ascii="Poppins" w:cs="Poppins" w:eastAsia="Poppins" w:hAnsi="Poppins"/>
          <w:color w:val="6E7180"/>
          <w:sz w:val="15"/>
          <w:szCs w:val="15"/>
        </w:rPr>
        <w:t xml:space="preserve"> Registro y control de ausencias</w:t>
      </w:r>
    </w:p>
    <w:p>
      <w:pPr>
        <w:pStyle w:val="Heading2"/>
      </w:pPr>
      <w:r>
        <w:t xml:space="preserve">Días de asuntos propios</w:t>
      </w:r>
    </w:p>
    <w:p>
      <w:pPr>
        <w:pStyle w:val="Body"/>
      </w:pPr>
      <w:r>
        <w:t xml:space="preserve">Existen </w:t>
      </w:r>
      <w:r>
        <w:rPr>
          <w:b/>
          <w:bCs/>
        </w:rPr>
        <w:t xml:space="preserve">4 días de asuntos propios</w:t>
      </w:r>
      <w:r>
        <w:t xml:space="preserve"> al año.</w:t>
      </w:r>
    </w:p>
    <w:p>
      <w:pPr>
        <w:pStyle w:val="Heading2"/>
      </w:pPr>
      <w:r>
        <w:t xml:space="preserve">Registro de ausencias</w:t>
      </w:r>
    </w:p>
    <w:p>
      <w:pPr>
        <w:pStyle w:val="Body"/>
      </w:pPr>
      <w:r>
        <w:rPr>
          <w:b/>
          <w:bCs/>
        </w:rPr>
        <w:t xml:space="preserve">Toda ausencia aprobada queda registrada</w:t>
      </w:r>
      <w:r>
        <w:t xml:space="preserve">, sea cual sea su tipo. Personas mantiene el </w:t>
      </w:r>
      <w:r>
        <w:rPr>
          <w:b/>
          <w:bCs/>
        </w:rPr>
        <w:t xml:space="preserve">cómputo anual</w:t>
      </w:r>
      <w:r>
        <w:t xml:space="preserve">, es decir, la cuenta de las ausencias registradas a lo largo del año.</w:t>
      </w:r>
    </w:p>
    <w:p>
      <w:pPr>
        <w:pStyle w:val="ItemTitle"/>
        <w:pBdr>
          <w:left w:val="single" w:color="C9C9E8" w:sz="20" w:space="9"/>
        </w:pBdr>
      </w:pPr>
      <w:r>
        <w:t xml:space="preserve">Qué se registra</w:t>
      </w:r>
    </w:p>
    <w:p>
      <w:pPr>
        <w:pStyle w:val="ItemBody"/>
        <w:pBdr>
          <w:left w:val="single" w:color="C9C9E8" w:sz="20" w:space="9"/>
        </w:pBdr>
      </w:pPr>
      <w:r>
        <w:t xml:space="preserve">Toda ausencia aprobada.</w:t>
      </w:r>
    </w:p>
    <w:p>
      <w:pPr>
        <w:pStyle w:val="ItemTitle"/>
        <w:pBdr>
          <w:left w:val="single" w:color="C9C9E8" w:sz="20" w:space="9"/>
        </w:pBdr>
      </w:pPr>
      <w:r>
        <w:t xml:space="preserve">Quién lleva la cuenta</w:t>
      </w:r>
    </w:p>
    <w:p>
      <w:pPr>
        <w:pStyle w:val="ItemBody"/>
        <w:pBdr>
          <w:left w:val="single" w:color="C9C9E8" w:sz="20" w:space="9"/>
        </w:pBdr>
      </w:pPr>
      <w:r>
        <w:t xml:space="preserve">Personas.</w:t>
      </w:r>
    </w:p>
    <w:p>
      <w:pPr>
        <w:pStyle w:val="ItemTitle"/>
        <w:pBdr>
          <w:left w:val="single" w:color="C9C9E8" w:sz="20" w:space="9"/>
        </w:pBdr>
      </w:pPr>
      <w:r>
        <w:t xml:space="preserve">Cada cuánto</w:t>
      </w:r>
    </w:p>
    <w:p>
      <w:pPr>
        <w:pStyle w:val="ItemBody"/>
        <w:pBdr>
          <w:left w:val="single" w:color="C9C9E8" w:sz="20" w:space="9"/>
        </w:pBdr>
      </w:pPr>
      <w:r>
        <w:t xml:space="preserve">El cómputo es anual.</w:t>
      </w:r>
    </w:p>
    <w:p>
      <w:pPr>
        <w:pStyle w:val="Heading2"/>
      </w:pPr>
      <w:r>
        <w:t xml:space="preserve">Las cifras del manual</w:t>
      </w:r>
    </w:p>
    <w:tbl>
      <w:tblPr>
        <w:tblW w:type="dxa" w:w="6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41"/>
        <w:gridCol w:w="1020"/>
        <w:gridCol w:w="2551"/>
        <w:gridCol w:w="908"/>
      </w:tblGrid>
      <w:tr>
        <w:trPr>
          <w:cantSplit/>
          <w:tblHeader/>
        </w:trPr>
        <w:tc>
          <w:tcPr>
            <w:tcW w:type="dxa" w:w="2041"/>
            <w:tcBorders>
              <w:top w:val="none" w:color="FFFFFF" w:sz="0"/>
              <w:left w:val="none" w:color="FFFFFF" w:sz="0"/>
              <w:bottom w:val="single" w:color="312E81" w:sz="4"/>
              <w:right w:val="none" w:color="FFFFFF" w:sz="0"/>
            </w:tcBorders>
            <w:shd w:fill="312E8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Concepto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312E81" w:sz="4"/>
              <w:right w:val="none" w:color="FFFFFF" w:sz="0"/>
            </w:tcBorders>
            <w:shd w:fill="312E8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Cantidad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single" w:color="312E81" w:sz="4"/>
              <w:right w:val="none" w:color="FFFFFF" w:sz="0"/>
            </w:tcBorders>
            <w:shd w:fill="312E8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Cómo se cuenta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312E81" w:sz="4"/>
              <w:right w:val="none" w:color="FFFFFF" w:sz="0"/>
            </w:tcBorders>
            <w:shd w:fill="312E8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Capítulo</w:t>
            </w:r>
          </w:p>
        </w:tc>
      </w:tr>
      <w:tr>
        <w:trPr>
          <w:cantSplit/>
        </w:trPr>
        <w:tc>
          <w:tcPr>
            <w:tcW w:type="dxa" w:w="2041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Vacaciones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312E81"/>
                <w:sz w:val="16"/>
                <w:szCs w:val="16"/>
              </w:rPr>
              <w:t xml:space="preserve">22 días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Hábiles, por año natural completo trabajado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041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AFAF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Antelación de la solicitud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AFAF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312E81"/>
                <w:sz w:val="16"/>
                <w:szCs w:val="16"/>
              </w:rPr>
              <w:t xml:space="preserve">15 días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AFAF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Naturales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AFAF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041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Asuntos propios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312E81"/>
                <w:sz w:val="16"/>
                <w:szCs w:val="16"/>
              </w:rPr>
              <w:t xml:space="preserve">4 días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Al año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3</w:t>
            </w:r>
          </w:p>
        </w:tc>
      </w:tr>
    </w:tbl>
    <w:sectPr>
      <w:headerReference w:type="default" r:id="rId15"/>
      <w:headerReference w:type="first" r:id="rId16"/>
      <w:footerReference w:type="default" r:id="rId17"/>
      <w:footerReference w:type="first" r:id="rId18"/>
      <w:pgSz w:w="8504" w:h="12813" w:orient="portrait"/>
      <w:pgMar w:top="1077" w:right="850" w:bottom="964" w:left="1134" w:header="510" w:footer="45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oppins" w:cs="Poppins" w:eastAsia="Poppins" w:hAnsi="Poppins"/>
        <w:color w:val="6E7180"/>
        <w:spacing w:val="24"/>
        <w:sz w:val="15"/>
        <w:szCs w:val="15"/>
      </w:rPr>
      <w:t xml:space="preserve">INTRODUCCIÓN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oppins" w:cs="Poppins" w:eastAsia="Poppins" w:hAnsi="Poppins"/>
        <w:color w:val="6E7180"/>
        <w:spacing w:val="24"/>
        <w:sz w:val="15"/>
        <w:szCs w:val="15"/>
      </w:rPr>
      <w:t xml:space="preserve">SOLICITUD Y APROBACIÓN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oppins" w:cs="Poppins" w:eastAsia="Poppins" w:hAnsi="Poppins"/>
        <w:color w:val="6E7180"/>
        <w:spacing w:val="24"/>
        <w:sz w:val="15"/>
        <w:szCs w:val="15"/>
      </w:rPr>
      <w:t xml:space="preserve">PERMISOS Y REGISTRO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color w:val="191A2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0" w:before="0" w:line="780" w:lineRule="exact"/>
    </w:pPr>
    <w:rPr>
      <w:rFonts w:ascii="Poppins" w:cs="Poppins" w:eastAsia="Poppins" w:hAnsi="Poppins"/>
      <w:b/>
      <w:bCs/>
      <w:color w:val="191A23"/>
      <w:sz w:val="64"/>
      <w:szCs w:val="64"/>
    </w:rPr>
  </w:style>
  <w:style w:type="paragraph" w:styleId="Heading1">
    <w:name w:val="Heading 1"/>
    <w:basedOn w:val="Normal"/>
    <w:next w:val="Normal"/>
    <w:qFormat/>
    <w:pPr>
      <w:keepNext/>
      <w:spacing w:after="0" w:before="80" w:line="600" w:lineRule="exact"/>
      <w:outlineLvl w:val="0"/>
    </w:pPr>
    <w:rPr>
      <w:rFonts w:ascii="Poppins" w:cs="Poppins" w:eastAsia="Poppins" w:hAnsi="Poppins"/>
      <w:b/>
      <w:bCs/>
      <w:color w:val="191A23"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after="100" w:before="320" w:line="340" w:lineRule="exact"/>
      <w:outlineLvl w:val="1"/>
    </w:pPr>
    <w:rPr>
      <w:rFonts w:ascii="Poppins" w:cs="Poppins" w:eastAsia="Poppins" w:hAnsi="Poppins"/>
      <w:b/>
      <w:bCs/>
      <w:color w:val="191A23"/>
      <w:sz w:val="26"/>
      <w:szCs w:val="26"/>
    </w:rPr>
  </w:style>
  <w:style w:type="paragraph" w:styleId="Body">
    <w:name w:val="Body Text"/>
    <w:basedOn w:val="Normal"/>
    <w:qFormat/>
    <w:pPr>
      <w:spacing w:after="110" w:before="0" w:line="340"/>
      <w:jc w:val="both"/>
    </w:pPr>
    <w:rPr>
      <w:rFonts w:ascii="Lora" w:cs="Lora" w:eastAsia="Lora" w:hAnsi="Lora"/>
      <w:color w:val="191A23"/>
      <w:sz w:val="21"/>
      <w:szCs w:val="21"/>
    </w:rPr>
  </w:style>
  <w:style w:type="paragraph" w:styleId="ItemTitle">
    <w:name w:val="Item Title"/>
    <w:basedOn w:val="Normal"/>
    <w:next w:val="Normal"/>
    <w:pPr>
      <w:keepNext/>
      <w:spacing w:after="20" w:before="60" w:line="290" w:lineRule="exact"/>
      <w:ind w:left="255"/>
    </w:pPr>
    <w:rPr>
      <w:rFonts w:ascii="Poppins" w:cs="Poppins" w:eastAsia="Poppins" w:hAnsi="Poppins"/>
      <w:b/>
      <w:bCs/>
      <w:color w:val="312E81"/>
      <w:sz w:val="20"/>
      <w:szCs w:val="20"/>
    </w:rPr>
  </w:style>
  <w:style w:type="paragraph" w:styleId="ItemBody">
    <w:name w:val="Item Body"/>
    <w:basedOn w:val="Normal"/>
    <w:pPr>
      <w:spacing w:after="140" w:before="0" w:line="330"/>
      <w:ind w:left="255"/>
    </w:pPr>
    <w:rPr>
      <w:rFonts w:ascii="Lora" w:cs="Lora" w:eastAsia="Lora" w:hAnsi="Lora"/>
      <w:color w:val="191A2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header" Target="header6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image" Target="media/68023c275f4f6d723b346a08a6a945b87ee67772.png"/><Relationship Id="rId20" Type="http://schemas.openxmlformats.org/officeDocument/2006/relationships/image" Target="media/12696b95c765a02747266099e0cf4bec8586c570.png"/><Relationship Id="rId21" Type="http://schemas.openxmlformats.org/officeDocument/2006/relationships/image" Target="media/e8af56a0ebeafc8ab0b1c5c19d08c8512481bbef.png"/><Relationship Id="rId22" Type="http://schemas.openxmlformats.org/officeDocument/2006/relationships/image" Target="media/7b48b9c49d85a53bb78db0500136c03f74301af1.png"/><Relationship Id="rId23" Type="http://schemas.openxmlformats.org/officeDocument/2006/relationships/image" Target="media/5d24079a7bd08b9580155c030370a68f103c8840.png"/><Relationship Id="rId24" Type="http://schemas.openxmlformats.org/officeDocument/2006/relationships/image" Target="media/d774af66e93f495ab67bef92388bf077705e7e6d.png"/><Relationship Id="rId25" Type="http://schemas.openxmlformats.org/officeDocument/2006/relationships/image" Target="media/2fa9863d14880b27774aa87b3699ba42e4e26e92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vacaciones y permisos · Nóvaris</dc:title>
  <dc:creator>Nóvaris</dc:creator>
  <cp:lastModifiedBy>Un-named</cp:lastModifiedBy>
  <cp:revision>1</cp:revision>
  <dcterms:created xsi:type="dcterms:W3CDTF">2026-09-17T10:26:52.206Z</dcterms:created>
  <dcterms:modified xsi:type="dcterms:W3CDTF">2026-09-17T10:26:52.207Z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