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5" w:before="100"/>
      </w:pPr>
      <w:r>
        <w:rPr>
          <w:rFonts w:ascii="Arial" w:cs="Arial" w:eastAsia="Arial" w:hAnsi="Arial"/>
          <w:b/>
          <w:bCs/>
          <w:color w:val="FFD166"/>
          <w:sz w:val="15"/>
          <w:szCs w:val="15"/>
        </w:rPr>
        <w:t xml:space="preserve">DOCUMENTO DE PLANIFICACIÓN  /  EDICIÓN 04</w:t>
      </w:r>
    </w:p>
    <w:tbl>
      <w:tblPr>
        <w:tblW w:type="dxa" w:w="9746"/>
        <w:jc w:val="center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E45F4B" w:val="clear"/>
            <w:tcMar>
              <w:top w:type="dxa" w:w="330"/>
              <w:left w:type="dxa" w:w="390"/>
              <w:bottom w:type="dxa" w:w="330"/>
              <w:right w:type="dxa" w:w="350"/>
            </w:tcMar>
          </w:tcPr>
          <w:p>
            <w:pPr>
              <w:spacing w:after="80" w:line="48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PLAN DE PROYECTO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Lista de tareas</w:t>
            </w:r>
          </w:p>
          <w:p>
            <w:pPr>
              <w:spacing w:after="0" w:line="285"/>
            </w:pPr>
            <w:r>
              <w:rPr>
                <w:rFonts w:ascii="Arial" w:cs="Arial" w:eastAsia="Arial" w:hAnsi="Arial"/>
                <w:color w:val="FFF4EF"/>
                <w:sz w:val="20"/>
                <w:szCs w:val="20"/>
              </w:rPr>
              <w:t xml:space="preserve">Hoja de ruta por fases, estado actual y criterios de cierre.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color w:val="344054"/>
        </w:rPr>
        <w:t xml:space="preserve"> </w:t>
      </w:r>
    </w:p>
    <w:p>
      <w:pPr>
        <w:spacing w:after="210" w:line="305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El MVP está implementado y conectado de extremo a extremo. El trabajo restante se concentra en la aceptación manual y el análisis de calidad acordado.</w:t>
      </w:r>
    </w:p>
    <w:tbl>
      <w:tblPr>
        <w:tblW w:type="dxa" w:w="9746"/>
        <w:jc w:val="center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3248"/>
        <w:gridCol w:w="3249"/>
        <w:gridCol w:w="3249"/>
      </w:tblGrid>
      <w:tr>
        <w:trPr>
          <w:cantSplit/>
        </w:trPr>
        <w:tc>
          <w:tcPr>
            <w:tcW w:type="dxa" w:w="3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C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667085"/>
                <w:sz w:val="14"/>
                <w:szCs w:val="14"/>
              </w:rPr>
              <w:t xml:space="preserve">ESTADO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3B53"/>
                <w:sz w:val="18"/>
                <w:szCs w:val="18"/>
              </w:rPr>
              <w:t xml:space="preserve">MVP implementado</w:t>
            </w:r>
          </w:p>
        </w:tc>
        <w:tc>
          <w:tcPr>
            <w:tcW w:type="dxa" w:w="324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AF5FA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667085"/>
                <w:sz w:val="14"/>
                <w:szCs w:val="14"/>
              </w:rPr>
              <w:t xml:space="preserve">PRUEBAS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3B53"/>
                <w:sz w:val="18"/>
                <w:szCs w:val="18"/>
              </w:rPr>
              <w:t xml:space="preserve">5 xUnit  /  3 Vitest</w:t>
            </w:r>
          </w:p>
        </w:tc>
        <w:tc>
          <w:tcPr>
            <w:tcW w:type="dxa" w:w="324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D6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667085"/>
                <w:sz w:val="14"/>
                <w:szCs w:val="14"/>
              </w:rPr>
              <w:t xml:space="preserve">POR CERRAR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3B53"/>
                <w:sz w:val="18"/>
                <w:szCs w:val="18"/>
              </w:rPr>
              <w:t xml:space="preserve">Manual  /  SonarQube</w:t>
            </w:r>
          </w:p>
        </w:tc>
      </w:tr>
    </w:tbl>
    <w:p>
      <w:pPr>
        <w:spacing w:after="75" w:before="100"/>
      </w:pPr>
      <w:r>
        <w:rPr>
          <w:rFonts w:ascii="Arial" w:cs="Arial" w:eastAsia="Arial" w:hAnsi="Arial"/>
          <w:b/>
          <w:bCs/>
          <w:color w:val="F28C45"/>
          <w:sz w:val="15"/>
          <w:szCs w:val="15"/>
        </w:rPr>
        <w:t xml:space="preserve">FICHA DEL PROYECTO</w:t>
      </w:r>
    </w:p>
    <w:tbl>
      <w:tblPr>
        <w:tblW w:type="dxa" w:w="9746"/>
        <w:jc w:val="center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3248"/>
        <w:gridCol w:w="3249"/>
        <w:gridCol w:w="3249"/>
      </w:tblGrid>
      <w:tr>
        <w:trPr>
          <w:cantSplit/>
        </w:trPr>
        <w:tc>
          <w:tcPr>
            <w:tcW w:type="dxa" w:w="3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7085"/>
                <w:sz w:val="14"/>
                <w:szCs w:val="14"/>
              </w:rPr>
              <w:t xml:space="preserve">CÓDIGO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</w:rPr>
              <w:t xml:space="preserve">app-todolist-260928</w:t>
            </w:r>
          </w:p>
        </w:tc>
        <w:tc>
          <w:tcPr>
            <w:tcW w:type="dxa" w:w="324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7085"/>
                <w:sz w:val="14"/>
                <w:szCs w:val="14"/>
              </w:rPr>
              <w:t xml:space="preserve">ACTUALIZADO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</w:rPr>
              <w:t xml:space="preserve">28 septiembre 2026</w:t>
            </w:r>
          </w:p>
        </w:tc>
        <w:tc>
          <w:tcPr>
            <w:tcW w:type="dxa" w:w="324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7085"/>
                <w:sz w:val="14"/>
                <w:szCs w:val="14"/>
              </w:rPr>
              <w:t xml:space="preserve">TECNOLOGÍAS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  <w:sz w:val="17"/>
                <w:szCs w:val="17"/>
              </w:rPr>
              <w:t xml:space="preserve">ASP.NET 10  /  React  /  SQLite</w:t>
            </w:r>
          </w:p>
        </w:tc>
      </w:tr>
    </w:tbl>
    <w:p>
      <w:pPr>
        <w:spacing w:after="0" w:before="260"/>
      </w:pPr>
      <w:r>
        <w:rPr>
          <w:rFonts w:ascii="Arial" w:cs="Arial" w:eastAsia="Arial" w:hAnsi="Arial"/>
          <w:b/>
          <w:bCs/>
          <w:color w:val="C8493B"/>
          <w:sz w:val="17"/>
          <w:szCs w:val="17"/>
        </w:rPr>
        <w:t xml:space="preserve">Plan orientado a entregables. No se han asignado fechas ni duraciones.</w:t>
      </w:r>
    </w:p>
    <w:p>
      <w:r>
        <w:br w:type="page"/>
      </w:r>
    </w:p>
    <w:p>
      <w:pPr>
        <w:spacing w:after="75" w:before="100"/>
      </w:pPr>
      <w:r>
        <w:rPr>
          <w:rFonts w:ascii="Arial" w:cs="Arial" w:eastAsia="Arial" w:hAnsi="Arial"/>
          <w:b/>
          <w:bCs/>
          <w:color w:val="C8493B"/>
          <w:sz w:val="15"/>
          <w:szCs w:val="15"/>
        </w:rPr>
        <w:t xml:space="preserve">01  /  ROADMAP EJECUTIVO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253B53"/>
          <w:sz w:val="32"/>
          <w:szCs w:val="32"/>
        </w:rPr>
        <w:t xml:space="preserve">Secuencia de trabajo</w:t>
      </w:r>
    </w:p>
    <w:p>
      <w:pPr>
        <w:spacing w:after="210" w:line="305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La matriz resume el orden de ejecución y el estado de cada línea. Las fases son hitos funcionales; no representan semanas ni una escala temporal.</w:t>
      </w:r>
    </w:p>
    <w:tbl>
      <w:tblPr>
        <w:tblW w:type="dxa" w:w="9746"/>
        <w:jc w:val="center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2120"/>
        <w:gridCol w:w="900"/>
        <w:gridCol w:w="900"/>
        <w:gridCol w:w="900"/>
        <w:gridCol w:w="900"/>
        <w:gridCol w:w="900"/>
        <w:gridCol w:w="900"/>
        <w:gridCol w:w="906"/>
        <w:gridCol w:w="1320"/>
      </w:tblGrid>
      <w:tr>
        <w:trPr>
          <w:cantSplit/>
        </w:trPr>
        <w:tc>
          <w:tcPr>
            <w:tcW w:type="dxa" w:w="2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LÍNEA DE TRABAJO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PREP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BASE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DATOS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API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REGLAS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UI</w:t>
            </w:r>
          </w:p>
        </w:tc>
        <w:tc>
          <w:tcPr>
            <w:tcW w:type="dxa" w:w="9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CIERRE</w:t>
            </w:r>
          </w:p>
        </w:tc>
        <w:tc>
          <w:tcPr>
            <w:tcW w:type="dxa" w:w="1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  <w:sz w:val="15"/>
                <w:szCs w:val="15"/>
              </w:rPr>
              <w:t xml:space="preserve">Preparación y decisiones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8493B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1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AF5FA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3B53"/>
                <w:sz w:val="13"/>
                <w:szCs w:val="13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  <w:sz w:val="15"/>
                <w:szCs w:val="15"/>
              </w:rPr>
              <w:t xml:space="preserve">Estructura y calidad base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45F4B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45F4B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1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AF5FA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3B53"/>
                <w:sz w:val="13"/>
                <w:szCs w:val="13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  <w:sz w:val="15"/>
                <w:szCs w:val="15"/>
              </w:rPr>
              <w:t xml:space="preserve">Modelo y persistencia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D166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1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AF5FA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3B53"/>
                <w:sz w:val="13"/>
                <w:szCs w:val="13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  <w:sz w:val="15"/>
                <w:szCs w:val="15"/>
              </w:rPr>
              <w:t xml:space="preserve">API y funcionalidad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F80A0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1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AF5FA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3B53"/>
                <w:sz w:val="13"/>
                <w:szCs w:val="13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  <w:sz w:val="15"/>
                <w:szCs w:val="15"/>
              </w:rPr>
              <w:t xml:space="preserve">Reglas y operaciones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F80A0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1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AF5FA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3B53"/>
                <w:sz w:val="13"/>
                <w:szCs w:val="13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  <w:sz w:val="15"/>
                <w:szCs w:val="15"/>
              </w:rPr>
              <w:t xml:space="preserve">Interfaz React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8493B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1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AF5FA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3B53"/>
                <w:sz w:val="13"/>
                <w:szCs w:val="13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  <w:sz w:val="15"/>
                <w:szCs w:val="15"/>
              </w:rPr>
              <w:t xml:space="preserve">Aceptación y cierre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28C45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1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D6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493B"/>
                <w:sz w:val="13"/>
                <w:szCs w:val="13"/>
              </w:rPr>
              <w:t xml:space="preserve">PENDIENTE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color w:val="344054"/>
        </w:rPr>
        <w:t xml:space="preserve"> </w:t>
      </w:r>
    </w:p>
    <w:tbl>
      <w:tblPr>
        <w:tblW w:type="dxa" w:w="9746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5"/>
        <w:gridCol w:w="9431"/>
      </w:tblGrid>
      <w:tr>
        <w:trPr>
          <w:cantSplit/>
        </w:trPr>
        <w:tc>
          <w:tcPr>
            <w:tcW w:type="dxa" w:w="315"/>
            <w:tcBorders>
              <w:top w:val="none"/>
              <w:left w:val="none"/>
              <w:bottom w:val="none"/>
              <w:right w:val="none"/>
            </w:tcBorders>
            <w:shd w:fill="F28C4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431"/>
            <w:tcBorders>
              <w:top w:val="none"/>
              <w:left w:val="none"/>
              <w:bottom w:val="none"/>
              <w:right w:val="none"/>
            </w:tcBorders>
            <w:shd w:fill="FFF5D6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253B53"/>
                <w:sz w:val="15"/>
                <w:szCs w:val="15"/>
              </w:rPr>
              <w:t xml:space="preserve">CÓMO LEER EL DIAGRAMA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color w:val="344054"/>
                <w:sz w:val="19"/>
                <w:szCs w:val="19"/>
              </w:rPr>
              <w:t xml:space="preserve">Cada barra marca la fase en que se trabajó la línea. La longitud visual solo cubre fases consecutivas; no estima esfuerzo ni duración. El cierre sigue pendiente por la prueba manual y SonarQube.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  <w:sz w:val="23"/>
          <w:szCs w:val="23"/>
        </w:rPr>
        <w:t xml:space="preserve">Estado de salida</w:t>
      </w:r>
    </w:p>
    <w:tbl>
      <w:tblPr>
        <w:tblW w:type="dxa" w:w="9746"/>
        <w:jc w:val="center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3248"/>
        <w:gridCol w:w="3249"/>
        <w:gridCol w:w="3249"/>
      </w:tblGrid>
      <w:tr>
        <w:trPr>
          <w:cantSplit/>
        </w:trPr>
        <w:tc>
          <w:tcPr>
            <w:tcW w:type="dxa" w:w="3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C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35"/>
              <w:jc w:val="center"/>
            </w:pPr>
            <w:r>
              <w:rPr>
                <w:rFonts w:ascii="Arial" w:cs="Arial" w:eastAsia="Arial" w:hAnsi="Arial"/>
                <w:b/>
                <w:bCs/>
                <w:color w:val="C8493B"/>
                <w:sz w:val="24"/>
                <w:szCs w:val="24"/>
              </w:rPr>
              <w:t xml:space="preserve">6 fases</w:t>
            </w:r>
          </w:p>
        </w:tc>
        <w:tc>
          <w:tcPr>
            <w:tcW w:type="dxa" w:w="324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AF5FA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3B53"/>
                <w:sz w:val="17"/>
                <w:szCs w:val="17"/>
              </w:rPr>
              <w:t xml:space="preserve">con entregables implementados</w:t>
            </w:r>
          </w:p>
        </w:tc>
        <w:tc>
          <w:tcPr>
            <w:tcW w:type="dxa" w:w="324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D6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35"/>
              <w:jc w:val="center"/>
            </w:pPr>
            <w:r>
              <w:rPr>
                <w:rFonts w:ascii="Arial" w:cs="Arial" w:eastAsia="Arial" w:hAnsi="Arial"/>
                <w:b/>
                <w:bCs/>
                <w:color w:val="F28C45"/>
                <w:sz w:val="24"/>
                <w:szCs w:val="24"/>
              </w:rPr>
              <w:t xml:space="preserve">1 fase</w:t>
            </w:r>
          </w:p>
        </w:tc>
      </w:tr>
    </w:tbl>
    <w:p>
      <w:r>
        <w:br w:type="page"/>
      </w:r>
    </w:p>
    <w:p>
      <w:pPr>
        <w:spacing w:after="75" w:before="100"/>
      </w:pPr>
      <w:r>
        <w:rPr>
          <w:rFonts w:ascii="Arial" w:cs="Arial" w:eastAsia="Arial" w:hAnsi="Arial"/>
          <w:b/>
          <w:bCs/>
          <w:color w:val="C8493B"/>
          <w:sz w:val="15"/>
          <w:szCs w:val="15"/>
        </w:rPr>
        <w:t xml:space="preserve">02  /  ALCANCE IMPLEMENTADO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253B53"/>
          <w:sz w:val="32"/>
          <w:szCs w:val="32"/>
        </w:rPr>
        <w:t xml:space="preserve">Fases 0–3  /  Preparar y construir</w:t>
      </w:r>
    </w:p>
    <w:p>
      <w:pPr>
        <w:spacing w:after="210" w:line="305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Las primeras fases fijaron el alcance, montaron la base técnica y llevaron los datos desde el dominio hasta la API.</w:t>
      </w:r>
    </w:p>
    <w:tbl>
      <w:tblPr>
        <w:tblW w:type="dxa" w:w="9746"/>
        <w:jc w:val="center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850"/>
        <w:gridCol w:w="2540"/>
        <w:gridCol w:w="4100"/>
        <w:gridCol w:w="2256"/>
      </w:tblGrid>
      <w:tr>
        <w:trPr>
          <w:cantSplit/>
        </w:trPr>
        <w:tc>
          <w:tcPr>
            <w:tcW w:type="dxa" w:w="8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FASE</w:t>
            </w:r>
          </w:p>
        </w:tc>
        <w:tc>
          <w:tcPr>
            <w:tcW w:type="dxa" w:w="25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ENTREGA</w:t>
            </w:r>
          </w:p>
        </w:tc>
        <w:tc>
          <w:tcPr>
            <w:tcW w:type="dxa" w:w="4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RESULTADO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C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493B"/>
                <w:sz w:val="19"/>
                <w:szCs w:val="19"/>
              </w:rPr>
              <w:t xml:space="preserve">F0</w:t>
            </w:r>
          </w:p>
        </w:tc>
        <w:tc>
          <w:tcPr>
            <w:tcW w:type="dxa" w:w="25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</w:rPr>
              <w:t xml:space="preserve">Decisiones y preparación</w:t>
            </w:r>
          </w:p>
        </w:tc>
        <w:tc>
          <w:tcPr>
            <w:tcW w:type="dxa" w:w="4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100" w:line="270"/>
            </w:pPr>
            <w:r>
              <w:rPr>
                <w:rFonts w:ascii="Arial" w:cs="Arial" w:eastAsia="Arial" w:hAnsi="Arial"/>
                <w:color w:val="344054"/>
              </w:rPr>
              <w:t xml:space="preserve">Alcance, asignación opcional, prioridad media, herramientas de frontend/backend y separación de responsabilidades acordados.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C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493B"/>
                <w:sz w:val="13"/>
                <w:szCs w:val="13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C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493B"/>
                <w:sz w:val="19"/>
                <w:szCs w:val="19"/>
              </w:rPr>
              <w:t xml:space="preserve">F1</w:t>
            </w:r>
          </w:p>
        </w:tc>
        <w:tc>
          <w:tcPr>
            <w:tcW w:type="dxa" w:w="25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</w:rPr>
              <w:t xml:space="preserve">Estructura y calidad base</w:t>
            </w:r>
          </w:p>
        </w:tc>
        <w:tc>
          <w:tcPr>
            <w:tcW w:type="dxa" w:w="4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100" w:line="270"/>
            </w:pPr>
            <w:r>
              <w:rPr>
                <w:rFonts w:ascii="Arial" w:cs="Arial" w:eastAsia="Arial" w:hAnsi="Arial"/>
                <w:color w:val="344054"/>
              </w:rPr>
              <w:t xml:space="preserve">Solución ASP.NET Core 10 y React/Vite; Entity Framework Core con SQLite y marcos de pruebas configurados. SonarQube sigue sin configurar.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C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493B"/>
                <w:sz w:val="13"/>
                <w:szCs w:val="13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D6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28C45"/>
                <w:sz w:val="19"/>
                <w:szCs w:val="19"/>
              </w:rPr>
              <w:t xml:space="preserve">F2</w:t>
            </w:r>
          </w:p>
        </w:tc>
        <w:tc>
          <w:tcPr>
            <w:tcW w:type="dxa" w:w="25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</w:rPr>
              <w:t xml:space="preserve">Modelo y persistencia</w:t>
            </w:r>
          </w:p>
        </w:tc>
        <w:tc>
          <w:tcPr>
            <w:tcW w:type="dxa" w:w="4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100" w:line="270"/>
            </w:pPr>
            <w:r>
              <w:rPr>
                <w:rFonts w:ascii="Arial" w:cs="Arial" w:eastAsia="Arial" w:hAnsi="Arial"/>
                <w:color w:val="344054"/>
              </w:rPr>
              <w:t xml:space="preserve">Tarea, estado, prioridad y UsuarioEjemplo; migración inicial y usuarios de referencia Alex, Sam y Taylor.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C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493B"/>
                <w:sz w:val="13"/>
                <w:szCs w:val="13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AF5FA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80A0"/>
                <w:sz w:val="19"/>
                <w:szCs w:val="19"/>
              </w:rPr>
              <w:t xml:space="preserve">F3</w:t>
            </w:r>
          </w:p>
        </w:tc>
        <w:tc>
          <w:tcPr>
            <w:tcW w:type="dxa" w:w="25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</w:rPr>
              <w:t xml:space="preserve">API vertical</w:t>
            </w:r>
          </w:p>
        </w:tc>
        <w:tc>
          <w:tcPr>
            <w:tcW w:type="dxa" w:w="4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100" w:line="270"/>
            </w:pPr>
            <w:r>
              <w:rPr>
                <w:rFonts w:ascii="Arial" w:cs="Arial" w:eastAsia="Arial" w:hAnsi="Arial"/>
                <w:color w:val="344054"/>
              </w:rPr>
              <w:t xml:space="preserve">API HTTP conectada a SQLite, CRUD y filtros por estado; la lógica se coordina mediante ServicioTareas.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C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493B"/>
                <w:sz w:val="13"/>
                <w:szCs w:val="13"/>
              </w:rPr>
              <w:t xml:space="preserve">IMPLEMENTADO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  <w:sz w:val="23"/>
          <w:szCs w:val="23"/>
        </w:rPr>
        <w:t xml:space="preserve">Decisiones que gobiernan el alcance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344054"/>
        </w:rPr>
        <w:t xml:space="preserve">Campos: título, estado, prioridad y responsable opcional; no hay descripción ni fecha de vencimiento.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344054"/>
        </w:rPr>
        <w:t xml:space="preserve">Los usuarios precargados son datos de referencia, no cuentas autenticadas.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344054"/>
        </w:rPr>
        <w:t xml:space="preserve">Los estados y prioridades se persisten como texto; EF Core aplica las migraciones al iniciar el API.</w:t>
      </w:r>
    </w:p>
    <w:tbl>
      <w:tblPr>
        <w:tblW w:type="dxa" w:w="9746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5"/>
        <w:gridCol w:w="9431"/>
      </w:tblGrid>
      <w:tr>
        <w:trPr>
          <w:cantSplit/>
        </w:trPr>
        <w:tc>
          <w:tcPr>
            <w:tcW w:type="dxa" w:w="315"/>
            <w:tcBorders>
              <w:top w:val="none"/>
              <w:left w:val="none"/>
              <w:bottom w:val="none"/>
              <w:right w:val="none"/>
            </w:tcBorders>
            <w:shd w:fill="2F80A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431"/>
            <w:tcBorders>
              <w:top w:val="none"/>
              <w:left w:val="none"/>
              <w:bottom w:val="none"/>
              <w:right w:val="none"/>
            </w:tcBorders>
            <w:shd w:fill="EAF5F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253B53"/>
                <w:sz w:val="15"/>
                <w:szCs w:val="15"/>
              </w:rPr>
              <w:t xml:space="preserve">RESULTADO TÉCNICO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color w:val="344054"/>
                <w:sz w:val="19"/>
                <w:szCs w:val="19"/>
              </w:rPr>
              <w:t xml:space="preserve">La API, el servicio de aplicación, el dominio y la persistencia mantienen responsabilidades separadas.</w:t>
            </w:r>
          </w:p>
        </w:tc>
      </w:tr>
    </w:tbl>
    <w:p>
      <w:r>
        <w:br w:type="page"/>
      </w:r>
    </w:p>
    <w:p>
      <w:pPr>
        <w:spacing w:after="75" w:before="100"/>
      </w:pPr>
      <w:r>
        <w:rPr>
          <w:rFonts w:ascii="Arial" w:cs="Arial" w:eastAsia="Arial" w:hAnsi="Arial"/>
          <w:b/>
          <w:bCs/>
          <w:color w:val="C8493B"/>
          <w:sz w:val="15"/>
          <w:szCs w:val="15"/>
        </w:rPr>
        <w:t xml:space="preserve">03  /  FUNCIONALIDAD Y CIERRE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253B53"/>
          <w:sz w:val="32"/>
          <w:szCs w:val="32"/>
        </w:rPr>
        <w:t xml:space="preserve">Fases 4–6  /  Completar y aceptar</w:t>
      </w:r>
    </w:p>
    <w:p>
      <w:pPr>
        <w:spacing w:after="210" w:line="305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Las operaciones de tarea y la interfaz están implementadas. La última fase conserva actividades abiertas hasta completar la verificación integrada.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  <w:sz w:val="23"/>
          <w:szCs w:val="23"/>
        </w:rPr>
        <w:t xml:space="preserve">F4  /  Operaciones y reglas  ·  implementado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344054"/>
        </w:rPr>
        <w:t xml:space="preserve">Editar, eliminar, completar y reabrir tareas.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344054"/>
        </w:rPr>
        <w:t xml:space="preserve">Asignar o cambiar el responsable; elegir prioridad baja, media o alta.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344054"/>
        </w:rPr>
        <w:t xml:space="preserve">Filtrar entre todas, pendientes y completadas; guardar cambios en SQLite.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  <w:sz w:val="23"/>
          <w:szCs w:val="23"/>
        </w:rPr>
        <w:t xml:space="preserve">F5  /  Interfaz React  ·  implementado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344054"/>
        </w:rPr>
        <w:t xml:space="preserve">Listado, estados vacío/cargando, resumen, formulario de alta y edición, acciones y filtros.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344054"/>
        </w:rPr>
        <w:t xml:space="preserve">Conexión a la API mediante Vite; pruebas de UI existentes y build de producción frontend verificado.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  <w:sz w:val="23"/>
          <w:szCs w:val="23"/>
        </w:rPr>
        <w:t xml:space="preserve">F6  /  Validar el MVP  ·  pendiente de cierre</w:t>
      </w:r>
    </w:p>
    <w:tbl>
      <w:tblPr>
        <w:tblW w:type="dxa" w:w="9746"/>
        <w:jc w:val="center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cantSplit/>
        </w:trP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ACTIVIDAD</w:t>
            </w:r>
          </w:p>
        </w:tc>
        <w:tc>
          <w:tcPr>
            <w:tcW w:type="dxa" w:w="72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EVIDENCIA DE CIERRE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AF5FA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</w:rPr>
              <w:t xml:space="preserve">Pruebas automatizadas</w:t>
            </w:r>
          </w:p>
        </w:tc>
        <w:tc>
          <w:tcPr>
            <w:tcW w:type="dxa" w:w="72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AF5FA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100" w:line="270"/>
            </w:pPr>
            <w:r>
              <w:rPr>
                <w:rFonts w:ascii="Arial" w:cs="Arial" w:eastAsia="Arial" w:hAnsi="Arial"/>
                <w:color w:val="344054"/>
              </w:rPr>
              <w:t xml:space="preserve">5 pruebas xUnit y 3 pruebas Vitest aprobadas; build frontend ejecutado.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</w:rPr>
              <w:t xml:space="preserve">Recorrido manual</w:t>
            </w:r>
          </w:p>
        </w:tc>
        <w:tc>
          <w:tcPr>
            <w:tcW w:type="dxa" w:w="72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100" w:line="270"/>
            </w:pPr>
            <w:r>
              <w:rPr>
                <w:rFonts w:ascii="Arial" w:cs="Arial" w:eastAsia="Arial" w:hAnsi="Arial"/>
                <w:color w:val="344054"/>
              </w:rPr>
              <w:t xml:space="preserve">Pendiente: crear, editar, asignar, priorizar, completar/reabrir, filtrar y eliminar tareas.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AF5FA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</w:rPr>
              <w:t xml:space="preserve">Persistencia al reiniciar</w:t>
            </w:r>
          </w:p>
        </w:tc>
        <w:tc>
          <w:tcPr>
            <w:tcW w:type="dxa" w:w="72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AF5FA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100" w:line="270"/>
            </w:pPr>
            <w:r>
              <w:rPr>
                <w:rFonts w:ascii="Arial" w:cs="Arial" w:eastAsia="Arial" w:hAnsi="Arial"/>
                <w:color w:val="344054"/>
              </w:rPr>
              <w:t xml:space="preserve">Pendiente de confirmar durante la prueba manual guiada.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</w:rPr>
              <w:t xml:space="preserve">SonarQube</w:t>
            </w:r>
          </w:p>
        </w:tc>
        <w:tc>
          <w:tcPr>
            <w:tcW w:type="dxa" w:w="72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100" w:line="270"/>
            </w:pPr>
            <w:r>
              <w:rPr>
                <w:rFonts w:ascii="Arial" w:cs="Arial" w:eastAsia="Arial" w:hAnsi="Arial"/>
                <w:color w:val="344054"/>
              </w:rPr>
              <w:t xml:space="preserve">Pendiente: acordar versión/configuración, ejecutar el análisis y revisar los hallazgos pertinentes.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44054"/>
        </w:rPr>
        <w:t xml:space="preserve"> </w:t>
      </w:r>
    </w:p>
    <w:tbl>
      <w:tblPr>
        <w:tblW w:type="dxa" w:w="9746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5"/>
        <w:gridCol w:w="9431"/>
      </w:tblGrid>
      <w:tr>
        <w:trPr>
          <w:cantSplit/>
        </w:trPr>
        <w:tc>
          <w:tcPr>
            <w:tcW w:type="dxa" w:w="315"/>
            <w:tcBorders>
              <w:top w:val="none"/>
              <w:left w:val="none"/>
              <w:bottom w:val="none"/>
              <w:right w:val="none"/>
            </w:tcBorders>
            <w:shd w:fill="F28C4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431"/>
            <w:tcBorders>
              <w:top w:val="none"/>
              <w:left w:val="none"/>
              <w:bottom w:val="none"/>
              <w:right w:val="none"/>
            </w:tcBorders>
            <w:shd w:fill="FFF5D6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253B53"/>
                <w:sz w:val="15"/>
                <w:szCs w:val="15"/>
              </w:rPr>
              <w:t xml:space="preserve">CRITERIO DE SALIDA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color w:val="344054"/>
                <w:sz w:val="19"/>
                <w:szCs w:val="19"/>
              </w:rPr>
              <w:t xml:space="preserve">La fase 6 se cierra cuando el recorrido manual y la persistencia quedan comprobados, SonarQube se ejecuta y revisa, y la documentación refleja los resultados.</w:t>
            </w:r>
          </w:p>
        </w:tc>
      </w:tr>
    </w:tbl>
    <w:p>
      <w:r>
        <w:br w:type="page"/>
      </w:r>
    </w:p>
    <w:p>
      <w:pPr>
        <w:spacing w:after="75" w:before="100"/>
      </w:pPr>
      <w:r>
        <w:rPr>
          <w:rFonts w:ascii="Arial" w:cs="Arial" w:eastAsia="Arial" w:hAnsi="Arial"/>
          <w:b/>
          <w:bCs/>
          <w:color w:val="C8493B"/>
          <w:sz w:val="15"/>
          <w:szCs w:val="15"/>
        </w:rPr>
        <w:t xml:space="preserve">04  /  CONTROL DEL PROYECTO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253B53"/>
          <w:sz w:val="32"/>
          <w:szCs w:val="32"/>
        </w:rPr>
        <w:t xml:space="preserve">Riesgos, límites y forma de trabajo</w:t>
      </w:r>
    </w:p>
    <w:p>
      <w:pPr>
        <w:spacing w:after="210" w:line="305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El plan protege el alcance del MVP y prioriza evidencia verificable antes de declarar la entrega cerrada.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  <w:sz w:val="23"/>
          <w:szCs w:val="23"/>
        </w:rPr>
        <w:t xml:space="preserve">Riesgos y controles</w:t>
      </w:r>
    </w:p>
    <w:tbl>
      <w:tblPr>
        <w:tblW w:type="dxa" w:w="9746"/>
        <w:jc w:val="center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2600"/>
        <w:gridCol w:w="3550"/>
        <w:gridCol w:w="3596"/>
      </w:tblGrid>
      <w:tr>
        <w:trPr>
          <w:cantSplit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35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CONTROL</w:t>
            </w:r>
          </w:p>
        </w:tc>
        <w:tc>
          <w:tcPr>
            <w:tcW w:type="dxa" w:w="35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3B53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</w:rPr>
              <w:t xml:space="preserve">Alcance creciente</w:t>
            </w:r>
          </w:p>
        </w:tc>
        <w:tc>
          <w:tcPr>
            <w:tcW w:type="dxa" w:w="35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100" w:line="270"/>
            </w:pPr>
            <w:r>
              <w:rPr>
                <w:rFonts w:ascii="Arial" w:cs="Arial" w:eastAsia="Arial" w:hAnsi="Arial"/>
                <w:color w:val="344054"/>
              </w:rPr>
              <w:t xml:space="preserve">Mantener autenticación, cuentas y colaboración fuera del MVP.</w:t>
            </w:r>
          </w:p>
        </w:tc>
        <w:tc>
          <w:tcPr>
            <w:tcW w:type="dxa" w:w="35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100" w:line="270"/>
            </w:pPr>
            <w:r>
              <w:rPr>
                <w:rFonts w:ascii="Arial" w:cs="Arial" w:eastAsia="Arial" w:hAnsi="Arial"/>
                <w:color w:val="344054"/>
              </w:rPr>
              <w:t xml:space="preserve">Fuera de alcance acordado.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</w:rPr>
              <w:t xml:space="preserve">Confundir asignación con identidad</w:t>
            </w:r>
          </w:p>
        </w:tc>
        <w:tc>
          <w:tcPr>
            <w:tcW w:type="dxa" w:w="35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100" w:line="270"/>
            </w:pPr>
            <w:r>
              <w:rPr>
                <w:rFonts w:ascii="Arial" w:cs="Arial" w:eastAsia="Arial" w:hAnsi="Arial"/>
                <w:color w:val="344054"/>
              </w:rPr>
              <w:t xml:space="preserve">Tratar Alex, Sam y Taylor como datos de referencia, sin permisos ni sesión.</w:t>
            </w:r>
          </w:p>
        </w:tc>
        <w:tc>
          <w:tcPr>
            <w:tcW w:type="dxa" w:w="35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100" w:line="270"/>
            </w:pPr>
            <w:r>
              <w:rPr>
                <w:rFonts w:ascii="Arial" w:cs="Arial" w:eastAsia="Arial" w:hAnsi="Arial"/>
                <w:color w:val="344054"/>
              </w:rPr>
              <w:t xml:space="preserve">Documentado.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</w:rPr>
              <w:t xml:space="preserve">Persistencia incompleta</w:t>
            </w:r>
          </w:p>
        </w:tc>
        <w:tc>
          <w:tcPr>
            <w:tcW w:type="dxa" w:w="35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100" w:line="270"/>
            </w:pPr>
            <w:r>
              <w:rPr>
                <w:rFonts w:ascii="Arial" w:cs="Arial" w:eastAsia="Arial" w:hAnsi="Arial"/>
                <w:color w:val="344054"/>
              </w:rPr>
              <w:t xml:space="preserve">Confirmar lectura y escritura en SQLite, incluida la consulta tras reiniciar.</w:t>
            </w:r>
          </w:p>
        </w:tc>
        <w:tc>
          <w:tcPr>
            <w:tcW w:type="dxa" w:w="35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100" w:line="270"/>
            </w:pPr>
            <w:r>
              <w:rPr>
                <w:rFonts w:ascii="Arial" w:cs="Arial" w:eastAsia="Arial" w:hAnsi="Arial"/>
                <w:color w:val="344054"/>
              </w:rPr>
              <w:t xml:space="preserve">Prueba manual pendiente.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B53"/>
              </w:rPr>
              <w:t xml:space="preserve">Calidad no cerrada</w:t>
            </w:r>
          </w:p>
        </w:tc>
        <w:tc>
          <w:tcPr>
            <w:tcW w:type="dxa" w:w="355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100" w:line="270"/>
            </w:pPr>
            <w:r>
              <w:rPr>
                <w:rFonts w:ascii="Arial" w:cs="Arial" w:eastAsia="Arial" w:hAnsi="Arial"/>
                <w:color w:val="344054"/>
              </w:rPr>
              <w:t xml:space="preserve">Ejecutar SonarQube además de las pruebas; el análisis estático no las sustituye.</w:t>
            </w:r>
          </w:p>
        </w:tc>
        <w:tc>
          <w:tcPr>
            <w:tcW w:type="dxa" w:w="35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6F2" w:val="clear"/>
            <w:tcMar>
              <w:top w:type="dxa" w:w="110"/>
              <w:left w:type="dxa" w:w="145"/>
              <w:bottom w:type="dxa" w:w="110"/>
              <w:right w:type="dxa" w:w="145"/>
            </w:tcMar>
          </w:tcPr>
          <w:p>
            <w:pPr>
              <w:spacing w:after="100" w:line="270"/>
            </w:pPr>
            <w:r>
              <w:rPr>
                <w:rFonts w:ascii="Arial" w:cs="Arial" w:eastAsia="Arial" w:hAnsi="Arial"/>
                <w:color w:val="344054"/>
              </w:rPr>
              <w:t xml:space="preserve">Configurar y ejecutar.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  <w:sz w:val="23"/>
          <w:szCs w:val="23"/>
        </w:rPr>
        <w:t xml:space="preserve">Fuera del alcance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344054"/>
        </w:rPr>
        <w:t xml:space="preserve">Inicio de sesión, autorización, privacidad por usuario y colaboración en tiempo real.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color w:val="344054"/>
        </w:rPr>
        <w:t xml:space="preserve">Notificaciones, vencimientos, historial, descripciones y despliegue multiusuario.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C8493B"/>
          <w:sz w:val="23"/>
          <w:szCs w:val="23"/>
        </w:rPr>
        <w:t xml:space="preserve">Ciclo de trabajo por incremento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Arial" w:cs="Arial" w:eastAsia="Arial" w:hAnsi="Arial"/>
          <w:color w:val="344054"/>
        </w:rPr>
        <w:t xml:space="preserve">Partir del requisito y sus criterios de aceptación en docs/analisis.md.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Arial" w:cs="Arial" w:eastAsia="Arial" w:hAnsi="Arial"/>
          <w:color w:val="344054"/>
        </w:rPr>
        <w:t xml:space="preserve">Proponer un cambio pequeño y los archivos afectados antes de implementarlo.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Arial" w:cs="Arial" w:eastAsia="Arial" w:hAnsi="Arial"/>
          <w:color w:val="344054"/>
        </w:rPr>
        <w:t xml:space="preserve">Añadir o actualizar las pruebas de la funcionalidad en el mismo incremento.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Arial" w:cs="Arial" w:eastAsia="Arial" w:hAnsi="Arial"/>
          <w:color w:val="344054"/>
        </w:rPr>
        <w:t xml:space="preserve">Revisar el diff y ejecutar una comprobación enfocada antes de continuar.</w:t>
      </w:r>
    </w:p>
    <w:tbl>
      <w:tblPr>
        <w:tblW w:type="dxa" w:w="9746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5"/>
        <w:gridCol w:w="9431"/>
      </w:tblGrid>
      <w:tr>
        <w:trPr>
          <w:cantSplit/>
        </w:trPr>
        <w:tc>
          <w:tcPr>
            <w:tcW w:type="dxa" w:w="315"/>
            <w:tcBorders>
              <w:top w:val="none"/>
              <w:left w:val="none"/>
              <w:bottom w:val="none"/>
              <w:right w:val="none"/>
            </w:tcBorders>
            <w:shd w:fill="C84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44054"/>
              </w:rPr>
              <w:t xml:space="preserve"> </w:t>
            </w:r>
          </w:p>
        </w:tc>
        <w:tc>
          <w:tcPr>
            <w:tcW w:type="dxa" w:w="9431"/>
            <w:tcBorders>
              <w:top w:val="none"/>
              <w:left w:val="none"/>
              <w:bottom w:val="none"/>
              <w:right w:val="none"/>
            </w:tcBorders>
            <w:shd w:fill="FFF0EC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253B53"/>
                <w:sz w:val="15"/>
                <w:szCs w:val="15"/>
              </w:rPr>
              <w:t xml:space="preserve">NOTA VISUAL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color w:val="344054"/>
                <w:sz w:val="19"/>
                <w:szCs w:val="19"/>
              </w:rPr>
              <w:t xml:space="preserve">Este documento incluye un roadmap editable por fases. Puede añadirse una captura del tablero de tareas tras completar la prueba manual; evitar incluir datos personales o información real.</w:t>
            </w:r>
          </w:p>
        </w:tc>
      </w:tr>
    </w:tbl>
    <w:p>
      <w:pPr>
        <w:spacing w:after="0" w:before="190"/>
      </w:pPr>
      <w:r>
        <w:rPr>
          <w:rFonts w:ascii="Arial" w:cs="Arial" w:eastAsia="Arial" w:hAnsi="Arial"/>
          <w:color w:val="667085"/>
          <w:sz w:val="15"/>
          <w:szCs w:val="15"/>
        </w:rPr>
        <w:t xml:space="preserve">Documentos de referencia: docs/analisis.md · docs/arquitectura.md · docs/guia-desarrollo.md</w:t>
      </w:r>
    </w:p>
    <w:sectPr>
      <w:headerReference w:type="default" r:id="rId6"/>
      <w:footerReference w:type="default" r:id="rId7"/>
      <w:pgSz w:w="11906" w:h="16838" w:orient="portrait"/>
      <w:pgMar w:top="1120" w:right="1080" w:bottom="1050" w:left="1080" w:header="465" w:footer="465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5" w:space="7"/>
      </w:pBdr>
      <w:tabs>
        <w:tab w:val="right" w:pos="9746"/>
      </w:tabs>
      <w:spacing w:before="75"/>
    </w:pPr>
    <w:r>
      <w:rPr>
        <w:rFonts w:ascii="Arial" w:cs="Arial" w:eastAsia="Arial" w:hAnsi="Arial"/>
        <w:color w:val="667085"/>
        <w:sz w:val="13"/>
        <w:szCs w:val="13"/>
      </w:rPr>
      <w:t xml:space="preserve">EDICIÓN 04  /  28 SEP 2026</w:t>
    </w:r>
    <w:r>
      <w:rPr>
        <w:rFonts w:ascii="Arial" w:cs="Arial" w:eastAsia="Arial" w:hAnsi="Arial"/>
        <w:color w:val="667085"/>
        <w:sz w:val="13"/>
        <w:szCs w:val="13"/>
      </w:rPr>
      <w:t xml:space="preserve">	PÁGINA </w:t>
    </w:r>
    <w:r>
      <w:rPr>
        <w:rFonts w:ascii="Arial" w:cs="Arial" w:eastAsia="Arial" w:hAnsi="Arial"/>
        <w:color w:val="667085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5" w:space="7"/>
      </w:pBdr>
      <w:tabs>
        <w:tab w:val="right" w:pos="9746"/>
      </w:tabs>
      <w:spacing w:after="75"/>
    </w:pPr>
    <w:r>
      <w:rPr>
        <w:rFonts w:ascii="Arial" w:cs="Arial" w:eastAsia="Arial" w:hAnsi="Arial"/>
        <w:b/>
        <w:bCs/>
        <w:color w:val="C8493B"/>
        <w:sz w:val="15"/>
        <w:szCs w:val="15"/>
      </w:rPr>
      <w:t xml:space="preserve">app-todolist-260928</w:t>
    </w:r>
    <w:r>
      <w:rPr>
        <w:rFonts w:ascii="Arial" w:cs="Arial" w:eastAsia="Arial" w:hAnsi="Arial"/>
        <w:color w:val="667085"/>
        <w:sz w:val="14"/>
        <w:szCs w:val="14"/>
      </w:rPr>
      <w:t xml:space="preserve">	PLAN DE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44054"/>
        <w:sz w:val="19"/>
        <w:szCs w:val="19"/>
      </w:rPr>
    </w:rPrDefault>
    <w:pPrDefault>
      <w:pPr>
        <w:spacing w:after="100" w:line="27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5" w:before="80"/>
      <w:outlineLvl w:val="0"/>
    </w:pPr>
    <w:rPr>
      <w:rFonts w:ascii="Arial" w:cs="Arial" w:eastAsia="Arial" w:hAnsi="Arial"/>
      <w:b/>
      <w:bCs/>
      <w:color w:val="253B5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90"/>
      <w:outlineLvl w:val="1"/>
    </w:pPr>
    <w:rPr>
      <w:rFonts w:ascii="Arial" w:cs="Arial" w:eastAsia="Arial" w:hAnsi="Arial"/>
      <w:b/>
      <w:bCs/>
      <w:color w:val="C8493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proyecto | Lista de tareas</dc:title>
  <dc:subject>Hoja de ruta por fases, estado, criterios de cierre y riesgos</dc:subject>
  <dc:creator>app-todolist-260928</dc:creator>
  <cp:keywords>plan de proyecto, roadmap, Gantt, app-todolist-260928</cp:keywords>
  <dc:description>Edición 04, actualizada el 28 de septiembre de 2026. Sin fechas ni duraciones de proyecto.</dc:description>
  <cp:lastModifiedBy>Un-named</cp:lastModifiedBy>
  <cp:revision>1</cp:revision>
  <dcterms:created xsi:type="dcterms:W3CDTF">2026-09-28T11:33:06.040Z</dcterms:created>
  <dcterms:modified xsi:type="dcterms:W3CDTF">2026-09-28T11:33:06.042Z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