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7324D"/>
          <w:sz w:val="40"/>
          <w:szCs w:val="40"/>
        </w:rPr>
        <w:t xml:space="preserve">INFORME DE BUGS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App Todo List</w:t>
      </w:r>
    </w:p>
    <w:p>
      <w:pPr>
        <w:jc w:val="center"/>
      </w:pPr>
      <w:r>
        <w:t xml:space="preserve">Fecha de corte: 28 de septiembre de 2026</w:t>
      </w:r>
    </w:p>
    <w:p>
      <w:pPr>
        <w:spacing w:after="420"/>
        <w:jc w:val="center"/>
      </w:pPr>
      <w:r>
        <w:t xml:space="preserve">Repositorio: hispafox/app-todolist-260928</w:t>
      </w:r>
    </w:p>
    <w:p>
      <w:pPr>
        <w:pStyle w:val="Heading1"/>
      </w:pPr>
      <w:r>
        <w:t xml:space="preserve">1. Resumen ejecutivo</w:t>
      </w:r>
    </w:p>
    <w:p>
      <w:r>
        <w:t xml:space="preserve">Se han identificado dos bugs confirmados relacionados con la aplicación: uno ya registrado en GitHub y otro abierto durante la revisión técnica del código. Ambos están documentados en issues de GitHub con etiqueta bug.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00"/>
        <w:gridCol w:w="1800"/>
        <w:gridCol w:w="2460"/>
      </w:tblGrid>
      <w:tr>
        <w:tc>
          <w:tcPr>
            <w:tcW w:type="dxa" w:w="1000"/>
            <w:tcBorders>
              <w:top w:val="single" w:color="D9E0E7" w:sz="1"/>
              <w:left w:val="single" w:color="D9E0E7" w:sz="1"/>
              <w:bottom w:val="single" w:color="D9E0E7" w:sz="1"/>
              <w:right w:val="single" w:color="D9E0E7" w:sz="1"/>
            </w:tcBorders>
            <w:shd w:fill="DCEA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100"/>
            <w:tcBorders>
              <w:top w:val="single" w:color="D9E0E7" w:sz="1"/>
              <w:left w:val="single" w:color="D9E0E7" w:sz="1"/>
              <w:bottom w:val="single" w:color="D9E0E7" w:sz="1"/>
              <w:right w:val="single" w:color="D9E0E7" w:sz="1"/>
            </w:tcBorders>
            <w:shd w:fill="DCEA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Bug</w:t>
            </w:r>
          </w:p>
        </w:tc>
        <w:tc>
          <w:tcPr>
            <w:tcW w:type="dxa" w:w="1800"/>
            <w:tcBorders>
              <w:top w:val="single" w:color="D9E0E7" w:sz="1"/>
              <w:left w:val="single" w:color="D9E0E7" w:sz="1"/>
              <w:bottom w:val="single" w:color="D9E0E7" w:sz="1"/>
              <w:right w:val="single" w:color="D9E0E7" w:sz="1"/>
            </w:tcBorders>
            <w:shd w:fill="DCEA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460"/>
            <w:tcBorders>
              <w:top w:val="single" w:color="D9E0E7" w:sz="1"/>
              <w:left w:val="single" w:color="D9E0E7" w:sz="1"/>
              <w:bottom w:val="single" w:color="D9E0E7" w:sz="1"/>
              <w:right w:val="single" w:color="D9E0E7" w:sz="1"/>
            </w:tcBorders>
            <w:shd w:fill="DCEA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Severidad orientativa</w:t>
            </w:r>
          </w:p>
        </w:tc>
      </w:tr>
      <w:tr>
        <w:tc>
          <w:tcPr>
            <w:tcW w:type="dxa" w:w="1000"/>
            <w:tcBorders>
              <w:top w:val="single" w:color="D9E0E7" w:sz="1"/>
              <w:left w:val="single" w:color="D9E0E7" w:sz="1"/>
              <w:bottom w:val="single" w:color="D9E0E7" w:sz="1"/>
              <w:right w:val="single" w:color="D9E0E7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#13</w:t>
            </w:r>
          </w:p>
        </w:tc>
        <w:tc>
          <w:tcPr>
            <w:tcW w:type="dxa" w:w="4100"/>
            <w:tcBorders>
              <w:top w:val="single" w:color="D9E0E7" w:sz="1"/>
              <w:left w:val="single" w:color="D9E0E7" w:sz="1"/>
              <w:bottom w:val="single" w:color="D9E0E7" w:sz="1"/>
              <w:right w:val="single" w:color="D9E0E7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página principal no muestra la versión de la aplicación</w:t>
            </w:r>
          </w:p>
        </w:tc>
        <w:tc>
          <w:tcPr>
            <w:tcW w:type="dxa" w:w="1800"/>
            <w:tcBorders>
              <w:top w:val="single" w:color="D9E0E7" w:sz="1"/>
              <w:left w:val="single" w:color="D9E0E7" w:sz="1"/>
              <w:bottom w:val="single" w:color="D9E0E7" w:sz="1"/>
              <w:right w:val="single" w:color="D9E0E7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Abierto</w:t>
            </w:r>
          </w:p>
        </w:tc>
        <w:tc>
          <w:tcPr>
            <w:tcW w:type="dxa" w:w="2460"/>
            <w:tcBorders>
              <w:top w:val="single" w:color="D9E0E7" w:sz="1"/>
              <w:left w:val="single" w:color="D9E0E7" w:sz="1"/>
              <w:bottom w:val="single" w:color="D9E0E7" w:sz="1"/>
              <w:right w:val="single" w:color="D9E0E7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Baja / funcional</w:t>
            </w:r>
          </w:p>
        </w:tc>
      </w:tr>
      <w:tr>
        <w:tc>
          <w:tcPr>
            <w:tcW w:type="dxa" w:w="1000"/>
            <w:tcBorders>
              <w:top w:val="single" w:color="D9E0E7" w:sz="1"/>
              <w:left w:val="single" w:color="D9E0E7" w:sz="1"/>
              <w:bottom w:val="single" w:color="D9E0E7" w:sz="1"/>
              <w:right w:val="single" w:color="D9E0E7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#14</w:t>
            </w:r>
          </w:p>
        </w:tc>
        <w:tc>
          <w:tcPr>
            <w:tcW w:type="dxa" w:w="4100"/>
            <w:tcBorders>
              <w:top w:val="single" w:color="D9E0E7" w:sz="1"/>
              <w:left w:val="single" w:color="D9E0E7" w:sz="1"/>
              <w:bottom w:val="single" w:color="D9E0E7" w:sz="1"/>
              <w:right w:val="single" w:color="D9E0E7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API devuelve 500 al cambiar a un estado no definido</w:t>
            </w:r>
          </w:p>
        </w:tc>
        <w:tc>
          <w:tcPr>
            <w:tcW w:type="dxa" w:w="1800"/>
            <w:tcBorders>
              <w:top w:val="single" w:color="D9E0E7" w:sz="1"/>
              <w:left w:val="single" w:color="D9E0E7" w:sz="1"/>
              <w:bottom w:val="single" w:color="D9E0E7" w:sz="1"/>
              <w:right w:val="single" w:color="D9E0E7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Abierto</w:t>
            </w:r>
          </w:p>
        </w:tc>
        <w:tc>
          <w:tcPr>
            <w:tcW w:type="dxa" w:w="2460"/>
            <w:tcBorders>
              <w:top w:val="single" w:color="D9E0E7" w:sz="1"/>
              <w:left w:val="single" w:color="D9E0E7" w:sz="1"/>
              <w:bottom w:val="single" w:color="D9E0E7" w:sz="1"/>
              <w:right w:val="single" w:color="D9E0E7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 / API</w:t>
            </w:r>
          </w:p>
        </w:tc>
      </w:tr>
    </w:tbl>
    <w:p>
      <w:pPr>
        <w:pStyle w:val="Heading1"/>
      </w:pPr>
      <w:r>
        <w:t xml:space="preserve">2. Alcance y método</w:t>
      </w:r>
    </w:p>
    <w:p>
      <w:r>
        <w:t xml:space="preserve">La revisión combina la consulta de las issues abiertas del repositorio con la inspección del código fuente del frontend, la API y las pruebas existentes. Se distingue entre bugs confirmados y funcionalidades o tareas que siguen abiertas únicamente porque requieren validación manual, SonarQube o actualización documental.</w:t>
      </w:r>
    </w:p>
    <w:p>
      <w:pPr>
        <w:pStyle w:val="ListParagraph"/>
        <w:numPr>
          <w:ilvl w:val="0"/>
          <w:numId w:val="2"/>
        </w:numPr>
      </w:pPr>
      <w:r>
        <w:t xml:space="preserve">Repositorio consultado: hispafox/app-todolist-260928.</w:t>
      </w:r>
    </w:p>
    <w:p>
      <w:pPr>
        <w:pStyle w:val="ListParagraph"/>
        <w:numPr>
          <w:ilvl w:val="0"/>
          <w:numId w:val="2"/>
        </w:numPr>
      </w:pPr>
      <w:r>
        <w:t xml:space="preserve">Issues abiertas consultadas: 14 a fecha de corte.</w:t>
      </w:r>
    </w:p>
    <w:p>
      <w:pPr>
        <w:pStyle w:val="ListParagraph"/>
        <w:numPr>
          <w:ilvl w:val="0"/>
          <w:numId w:val="2"/>
        </w:numPr>
      </w:pPr>
      <w:r>
        <w:t xml:space="preserve">Issues etiquetadas como bug: #13 y #14.</w:t>
      </w:r>
    </w:p>
    <w:p>
      <w:pPr>
        <w:pStyle w:val="ListParagraph"/>
        <w:numPr>
          <w:ilvl w:val="0"/>
          <w:numId w:val="2"/>
        </w:numPr>
      </w:pPr>
      <w:r>
        <w:t xml:space="preserve">No se consideran bugs las historias de usuario implementadas pendientes de prueba manual.</w:t>
      </w:r>
    </w:p>
    <w:p>
      <w:pPr>
        <w:pStyle w:val="Heading1"/>
      </w:pPr>
      <w:r>
        <w:t xml:space="preserve">3. Bugs confirmados</w:t>
      </w:r>
    </w:p>
    <w:p>
      <w:pPr>
        <w:pStyle w:val="Heading2"/>
      </w:pPr>
      <w:r>
        <w:t xml:space="preserve">3.1. Issue #13: la página principal no muestra la versión</w:t>
      </w:r>
    </w:p>
    <w:p>
      <w:r>
        <w:rPr>
          <w:b/>
          <w:bCs/>
        </w:rPr>
        <w:t xml:space="preserve">Issue: </w:t>
      </w:r>
      <w:r>
        <w:t xml:space="preserve">https://github.com/hispafox/app-todolist-260928/issues/13</w:t>
      </w:r>
    </w:p>
    <w:p>
      <w:r>
        <w:t xml:space="preserve">La aplicación declara la versión 1.0.0 en frontend/package.json, pero la interfaz principal no presenta ese dato en el encabezado ni en el pie de página.</w:t>
      </w:r>
    </w:p>
    <w:p>
      <w:r>
        <w:rPr>
          <w:b/>
          <w:bCs/>
        </w:rPr>
        <w:t xml:space="preserve">Resultado actual: </w:t>
      </w:r>
      <w:r>
        <w:t xml:space="preserve">la persona usuaria no puede ver la versión publicada desde la página principal.</w:t>
      </w:r>
    </w:p>
    <w:p>
      <w:r>
        <w:rPr>
          <w:b/>
          <w:bCs/>
        </w:rPr>
        <w:t xml:space="preserve">Resultado esperado: </w:t>
      </w:r>
      <w:r>
        <w:t xml:space="preserve">la versión visible debe coincidir con la definida para la aplicación.</w:t>
      </w:r>
    </w:p>
    <w:p>
      <w:r>
        <w:rPr>
          <w:b/>
          <w:bCs/>
        </w:rPr>
        <w:t xml:space="preserve">Criterios registrados: </w:t>
      </w:r>
      <w:r>
        <w:t xml:space="preserve">mostrar la versión, mantenerla sincronizada con la versión definida y cubrirla con una prueba de interfaz.</w:t>
      </w:r>
    </w:p>
    <w:p>
      <w:r>
        <w:rPr>
          <w:b/>
          <w:bCs/>
        </w:rPr>
        <w:t xml:space="preserve">Impacto: </w:t>
      </w:r>
      <w:r>
        <w:t xml:space="preserve">bajo en la operación funcional, pero afecta a la identificación de la versión desplegada y al soporte.</w:t>
      </w:r>
    </w:p>
    <w:p>
      <w:pPr>
        <w:pStyle w:val="Heading2"/>
      </w:pPr>
      <w:r>
        <w:t xml:space="preserve">3.2. Issue #14: estado inválido produce un error 500</w:t>
      </w:r>
    </w:p>
    <w:p>
      <w:r>
        <w:rPr>
          <w:b/>
          <w:bCs/>
        </w:rPr>
        <w:t xml:space="preserve">Issue: </w:t>
      </w:r>
      <w:r>
        <w:t xml:space="preserve">https://github.com/hispafox/app-todolist-260928/issues/14</w:t>
      </w:r>
    </w:p>
    <w:p>
      <w:r>
        <w:t xml:space="preserve">El endpoint PUT /api/tareas/{id}/estado delega en ServicioTareas.CambiarEstadoAsync. El servicio lanza ArgumentException cuando el valor no pertenece al enum EstadoTarea, pero el endpoint no captura esa excepción, a diferencia de los endpoints de creación y edición.</w:t>
      </w:r>
    </w:p>
    <w:p>
      <w:r>
        <w:rPr>
          <w:b/>
          <w:bCs/>
        </w:rPr>
        <w:t xml:space="preserve">Reproducción registrada: </w:t>
      </w:r>
      <w:r>
        <w:t xml:space="preserve">enviar {"estado": 99} para una tarea existente.</w:t>
      </w:r>
    </w:p>
    <w:p>
      <w:r>
        <w:rPr>
          <w:b/>
          <w:bCs/>
        </w:rPr>
        <w:t xml:space="preserve">Resultado actual: </w:t>
      </w:r>
      <w:r>
        <w:t xml:space="preserve">la excepción puede propagarse y producir 500 Internal Server Error.</w:t>
      </w:r>
    </w:p>
    <w:p>
      <w:r>
        <w:rPr>
          <w:b/>
          <w:bCs/>
        </w:rPr>
        <w:t xml:space="preserve">Resultado esperado: </w:t>
      </w:r>
      <w:r>
        <w:t xml:space="preserve">400 Bad Request con el formato de error de validación utilizado por el resto de la API.</w:t>
      </w:r>
    </w:p>
    <w:p>
      <w:r>
        <w:rPr>
          <w:b/>
          <w:bCs/>
        </w:rPr>
        <w:t xml:space="preserve">Impacto: </w:t>
      </w:r>
      <w:r>
        <w:t xml:space="preserve">medio: una entrada inválida provoca una respuesta de servidor y no un error de cliente controlado.</w:t>
      </w:r>
    </w:p>
    <w:p>
      <w:r>
        <w:rPr>
          <w:b/>
          <w:bCs/>
        </w:rPr>
        <w:t xml:space="preserve">Archivos implicados: </w:t>
      </w:r>
      <w:r>
        <w:t xml:space="preserve">src/AppTodoList.Api/Program.cs y src/AppTodoList.Api/Aplicacion/ServicioTareas.cs.</w:t>
      </w:r>
    </w:p>
    <w:p>
      <w:pPr>
        <w:pStyle w:val="Heading1"/>
      </w:pPr>
      <w:r>
        <w:t xml:space="preserve">4. Incidencias abiertas que no son bugs confirmados</w:t>
      </w:r>
    </w:p>
    <w:p>
      <w:r>
        <w:t xml:space="preserve">Las siguientes issues están abiertas en GitHub, pero su contenido indica trabajo pendiente o validación, no un comportamiento defectuoso demostrado:</w:t>
      </w:r>
    </w:p>
    <w:p>
      <w:pPr>
        <w:pStyle w:val="ListParagraph"/>
        <w:numPr>
          <w:ilvl w:val="0"/>
          <w:numId w:val="2"/>
        </w:numPr>
      </w:pPr>
      <w:r>
        <w:t xml:space="preserve">#1, #3 y #4: validación manual del MVP, configuración de SonarQube y actualización documental.</w:t>
      </w:r>
    </w:p>
    <w:p>
      <w:pPr>
        <w:pStyle w:val="ListParagraph"/>
        <w:numPr>
          <w:ilvl w:val="0"/>
          <w:numId w:val="2"/>
        </w:numPr>
      </w:pPr>
      <w:r>
        <w:t xml:space="preserve">#2 y #5 a #12: historias de usuario implementadas o parcialmente implementadas pendientes de comprobación manual y evidencia de aceptación.</w:t>
      </w:r>
    </w:p>
    <w:p>
      <w:r>
        <w:t xml:space="preserve">Estas incidencias deben mantenerse abiertas hasta completar las verificaciones previstas. Si durante esas pruebas aparece un comportamiento incorrecto, conviene abrir una issue bug específica con pasos de reproducción, resultado actual y resultado esperado.</w:t>
      </w:r>
    </w:p>
    <w:p>
      <w:pPr>
        <w:pStyle w:val="Heading1"/>
      </w:pPr>
      <w:r>
        <w:t xml:space="preserve">5. Priorización recomendada</w:t>
      </w:r>
    </w:p>
    <w:p>
      <w:pPr>
        <w:pStyle w:val="ListParagraph"/>
        <w:numPr>
          <w:ilvl w:val="0"/>
          <w:numId w:val="2"/>
        </w:numPr>
      </w:pPr>
      <w:r>
        <w:t xml:space="preserve">Prioridad 1: corregir la respuesta 500 de la issue #14 y añadir una prueba automatizada del contrato HTTP.</w:t>
      </w:r>
    </w:p>
    <w:p>
      <w:pPr>
        <w:pStyle w:val="ListParagraph"/>
        <w:numPr>
          <w:ilvl w:val="0"/>
          <w:numId w:val="2"/>
        </w:numPr>
      </w:pPr>
      <w:r>
        <w:t xml:space="preserve">Prioridad 2: resolver la issue #13 exponiendo la versión en la página principal y añadir una prueba de interfaz.</w:t>
      </w:r>
    </w:p>
    <w:p>
      <w:pPr>
        <w:pStyle w:val="ListParagraph"/>
        <w:numPr>
          <w:ilvl w:val="0"/>
          <w:numId w:val="2"/>
        </w:numPr>
      </w:pPr>
      <w:r>
        <w:t xml:space="preserve">Prioridad 3: completar la validación manual de las historias abiertas y registrar resultados antes de cerrar las issues correspondientes.</w:t>
      </w:r>
    </w:p>
    <w:p>
      <w:pPr>
        <w:pStyle w:val="ListParagraph"/>
        <w:numPr>
          <w:ilvl w:val="0"/>
          <w:numId w:val="2"/>
        </w:numPr>
      </w:pPr>
      <w:r>
        <w:t xml:space="preserve">Prioridad 4: ejecutar SonarQube y actualizar la documentación con los resultados definitivos.</w:t>
      </w:r>
    </w:p>
    <w:p>
      <w:pPr>
        <w:pStyle w:val="Heading1"/>
      </w:pPr>
      <w:r>
        <w:t xml:space="preserve">6. Conclusión</w:t>
      </w:r>
    </w:p>
    <w:p>
      <w:r>
        <w:t xml:space="preserve">A fecha de 28 de septiembre de 2026, el repositorio tiene dos bugs identificados y abiertos en GitHub: #13 y #14. El resto de issues abiertas representan validación, calidad, documentación o funcionalidades pendientes de aceptación, por lo que no deben contabilizarse como bugs sin evidencia adicional.</w:t>
      </w:r>
    </w:p>
    <w:sectPr>
      <w:footerReference w:type="default" r:id="rId6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Informe de bugs | 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  <w:lvl w:ilvl="1" w15:tentative="1">
      <w:start w:val="1"/>
      <w:numFmt w:val="bullet"/>
      <w:lvlText w:val="*"/>
      <w:lvlJc w:val="left"/>
      <w:pPr>
        <w:ind w:left="1440" w:hanging="360"/>
      </w:pPr>
    </w:lvl>
    <w:lvl w:ilvl="2" w15:tentative="1">
      <w:start w:val="1"/>
      <w:numFmt w:val="bullet"/>
      <w:lvlText w:val="*"/>
      <w:lvlJc w:val="left"/>
      <w:pPr>
        <w:ind w:left="2160" w:hanging="360"/>
      </w:pPr>
    </w:lvl>
    <w:lvl w:ilvl="3" w15:tentative="1">
      <w:start w:val="1"/>
      <w:numFmt w:val="bullet"/>
      <w:lvlText w:val="*"/>
      <w:lvlJc w:val="left"/>
      <w:pPr>
        <w:ind w:left="2880" w:hanging="360"/>
      </w:pPr>
    </w:lvl>
    <w:lvl w:ilvl="4" w15:tentative="1">
      <w:start w:val="1"/>
      <w:numFmt w:val="bullet"/>
      <w:lvlText w:val="*"/>
      <w:lvlJc w:val="left"/>
      <w:pPr>
        <w:ind w:left="3600" w:hanging="360"/>
      </w:pPr>
    </w:lvl>
    <w:lvl w:ilvl="5" w15:tentative="1">
      <w:start w:val="1"/>
      <w:numFmt w:val="bullet"/>
      <w:lvlText w:val="*"/>
      <w:lvlJc w:val="left"/>
      <w:pPr>
        <w:ind w:left="4320" w:hanging="360"/>
      </w:pPr>
    </w:lvl>
    <w:lvl w:ilvl="6" w15:tentative="1">
      <w:start w:val="1"/>
      <w:numFmt w:val="bullet"/>
      <w:lvlText w:val="*"/>
      <w:lvlJc w:val="left"/>
      <w:pPr>
        <w:ind w:left="5040" w:hanging="360"/>
      </w:pPr>
    </w:lvl>
    <w:lvl w:ilvl="7" w15:tentative="1">
      <w:start w:val="1"/>
      <w:numFmt w:val="bullet"/>
      <w:lvlText w:val="*"/>
      <w:lvlJc w:val="left"/>
      <w:pPr>
        <w:ind w:left="5760" w:hanging="360"/>
      </w:pPr>
    </w:lvl>
    <w:lvl w:ilvl="8" w15:tentative="1">
      <w:start w:val="1"/>
      <w:numFmt w:val="bullet"/>
      <w:lvlText w:val="*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7324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45B7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2026-09-28T11:55:16.374Z</dcterms:created>
  <dcterms:modified xsi:type="dcterms:W3CDTF">2026-09-28T11:55:16.379Z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