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0"/>
      </w:pPr>
      <w:r>
        <w:rPr>
          <w:rFonts w:ascii="Arial" w:hAnsi="Arial"/>
          <w:b/>
          <w:color w:val="2F75B5"/>
          <w:sz w:val="18"/>
        </w:rPr>
        <w:t>INFORME DE SEGURIDAD</w:t>
      </w:r>
    </w:p>
    <w:p>
      <w:pPr>
        <w:pStyle w:val="Title"/>
      </w:pPr>
      <w:r>
        <w:t>Revisión de la aplicación</w:t>
      </w:r>
    </w:p>
    <w:p>
      <w:pPr>
        <w:spacing w:after="320"/>
      </w:pPr>
      <w:r>
        <w:rPr>
          <w:rFonts w:ascii="Arial" w:hAnsi="Arial"/>
          <w:color w:val="5A697D"/>
          <w:sz w:val="24"/>
        </w:rPr>
        <w:t>Resultado del análisis de seguridad del repositorio Cielo Local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1944"/>
            <w:shd w:fill="EAF1F8" w:val="clear"/>
            <w:vAlign w:val="center"/>
          </w:tcPr>
          <w:p>
            <w:r>
              <w:rPr>
                <w:b/>
                <w:color w:val="17365D"/>
              </w:rPr>
              <w:t>Fecha</w:t>
            </w:r>
          </w:p>
        </w:tc>
        <w:tc>
          <w:tcPr>
            <w:tcW w:type="dxa" w:w="7992"/>
            <w:shd w:fill="EAF1F8" w:val="clear"/>
            <w:vAlign w:val="center"/>
          </w:tcPr>
          <w:p>
            <w:r>
              <w:t>16 de octubre de 2026</w:t>
            </w:r>
          </w:p>
        </w:tc>
      </w:tr>
      <w:tr>
        <w:tc>
          <w:tcPr>
            <w:tcW w:type="dxa" w:w="1944"/>
            <w:shd w:fill="F4F7FA" w:val="clear"/>
            <w:vAlign w:val="center"/>
          </w:tcPr>
          <w:p>
            <w:r>
              <w:rPr>
                <w:b/>
                <w:color w:val="17365D"/>
              </w:rPr>
              <w:t>Alcance</w:t>
            </w:r>
          </w:p>
        </w:tc>
        <w:tc>
          <w:tcPr>
            <w:tcW w:type="dxa" w:w="7992"/>
            <w:shd w:fill="F4F7FA" w:val="clear"/>
            <w:vAlign w:val="center"/>
          </w:tcPr>
          <w:p>
            <w:r>
              <w:t>Aplicación web estática y estado del repositorio al momento de la revisión</w:t>
            </w:r>
          </w:p>
        </w:tc>
      </w:tr>
    </w:tbl>
    <w:p>
      <w:pPr>
        <w:pStyle w:val="Heading1"/>
      </w:pPr>
      <w:r>
        <w:t>Resumen ejecutivo</w:t>
      </w:r>
    </w:p>
    <w:p>
      <w:r>
        <w:rPr>
          <w:b/>
          <w:color w:val="1F6441"/>
        </w:rPr>
        <w:t>No se encontraron vulnerabilidades de alta confianza en la revisión realizada.</w:t>
      </w:r>
    </w:p>
    <w:p>
      <w:r>
        <w:t>La revisión cubrió el código de la aplicación, sus dependencias y los principales flujos de datos examinados. No se identificaron hallazgos confirmados que requieran una corrección de seguridad inmediata.</w:t>
      </w:r>
    </w:p>
    <w:p>
      <w:pPr>
        <w:pStyle w:val="Heading1"/>
      </w:pPr>
      <w:r>
        <w:t>Estado y alcance</w:t>
      </w:r>
    </w:p>
    <w:p>
      <w:r>
        <w:t>En el momento del análisis no había cambios rastreados staged ni unstaged; la rama main coincidía con origin/main. Los elementos no rastreados observados correspondían a documentación y skills, no a cambios de aplicación.</w:t>
      </w:r>
    </w:p>
    <w:p>
      <w:r>
        <w:t>Se revisaron las dependencias, posibles secretos y configuración expuesta, los flujos de datos de la interfaz (incluidos los puntos de inserción en el DOM y el almacenamiento local), las peticiones a servicios externos y el feed de estado de workflows. También se realizó una comprobación cruzada de los flujos relevantes y una autoverificación de los posibles hallazgos.</w:t>
      </w:r>
    </w:p>
    <w:p>
      <w:pPr>
        <w:pStyle w:val="Heading1"/>
      </w:pPr>
      <w:r>
        <w:t>Recuento de hallazgos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4975"/>
            <w:shd w:fill="17365D" w:val="clear"/>
            <w:vAlign w:val="center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4975"/>
            <w:shd w:fill="17365D" w:val="clear"/>
            <w:vAlign w:val="center"/>
          </w:tcPr>
          <w:p>
            <w:r>
              <w:rPr>
                <w:b/>
                <w:color w:val="FFFFFF"/>
              </w:rPr>
              <w:t>Hallazgos</w:t>
            </w:r>
          </w:p>
        </w:tc>
      </w:tr>
      <w:tr>
        <w:tc>
          <w:tcPr>
            <w:tcW w:type="dxa" w:w="6912"/>
            <w:vAlign w:val="center"/>
          </w:tcPr>
          <w:p>
            <w:r>
              <w:t>🔴 CRITICAL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6912"/>
            <w:vAlign w:val="center"/>
          </w:tcPr>
          <w:p>
            <w:r>
              <w:t>🟠 HIGH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6912"/>
            <w:vAlign w:val="center"/>
          </w:tcPr>
          <w:p>
            <w:r>
              <w:t>🟡 MEDIUM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6912"/>
            <w:vAlign w:val="center"/>
          </w:tcPr>
          <w:p>
            <w:r>
              <w:t>⚪ LOW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t>0</w:t>
            </w:r>
          </w:p>
        </w:tc>
      </w:tr>
    </w:tbl>
    <w:p>
      <w:pPr>
        <w:pStyle w:val="Heading1"/>
      </w:pPr>
      <w:r>
        <w:t>Hallazgos detallados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504"/>
            <w:shd w:fill="17365D" w:val="clear"/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224"/>
            <w:shd w:fill="17365D" w:val="clear"/>
            <w:vAlign w:val="center"/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944"/>
            <w:shd w:fill="17365D" w:val="clear"/>
            <w:vAlign w:val="center"/>
          </w:tcPr>
          <w:p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792"/>
            <w:shd w:fill="17365D" w:val="clear"/>
            <w:vAlign w:val="center"/>
          </w:tcPr>
          <w:p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4392"/>
            <w:shd w:fill="17365D" w:val="clear"/>
            <w:vAlign w:val="center"/>
          </w:tcPr>
          <w:p>
            <w:r>
              <w:rPr>
                <w:b/>
                <w:color w:val="FFFFFF"/>
                <w:sz w:val="16"/>
              </w:rPr>
              <w:t>Vulnerability</w:t>
            </w:r>
          </w:p>
        </w:tc>
        <w:tc>
          <w:tcPr>
            <w:tcW w:type="dxa" w:w="1080"/>
            <w:shd w:fill="17365D" w:val="clear"/>
            <w:vAlign w:val="center"/>
          </w:tcPr>
          <w:p>
            <w:r>
              <w:rPr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4392"/>
            <w:vAlign w:val="center"/>
          </w:tcPr>
          <w:p>
            <w:r>
              <w:rPr>
                <w:sz w:val="16"/>
              </w:rPr>
              <w:t>No se encontraron vulnerabilidades de alta confianza.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1"/>
      </w:pPr>
      <w:r>
        <w:t>Conclusión y límites</w:t>
      </w:r>
    </w:p>
    <w:p>
      <w:r>
        <w:t>Con la evidencia revisada, el resultado es limpio: no se reportan vulnerabilidades confirmadas. Este informe refleja una revisión estática del código y del estado disponible del repositorio; no equivale a una prueba de penetración ni garantiza la ausencia absoluta de vulnerabilidades. La evaluación dinámica de la aplicación desplegada y la verificación periódica de dependencias quedan fuera de este resultado.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887"/>
        <w:sz w:val="16"/>
      </w:rPr>
      <w:t>Informe de revisión estática  •  16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A697D"/>
        <w:sz w:val="16"/>
      </w:rPr>
      <w:t>CIELO LOCAL  |  REVISIÓN DE SEGURIDAD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revisión de seguridad — Cielo Local</dc:title>
  <dc:subject>Resultado de revisión estática de seguridad</dc:subject>
  <dc:creator>Copilot</dc:creator>
  <cp:keywords>seguridad, revisión estática, Cielo Local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