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68C78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  <w:color w:val="FF0000"/>
          <w:b/>
          <w:bCs/>
        </w:rPr>
        <w:lastRenderedPageBreak/>
        <w:t xml:space="preserve">بطاقات التمارين — السادس · الأربعاء 16-09-2026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الحصة: أوظف عناصر اللياقة لتحقيق أهدافي الشخصية  —  الأولى / أسلوب حياتي النشط!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المعلم: أ. محمد الكواري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/>
      </w:r>
    </w:p>
    <w:p w14:paraId="3EE68C78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  <w:color w:val="FF0000"/>
          <w:b/>
          <w:bCs/>
        </w:rPr>
        <w:lastRenderedPageBreak/>
        <w:t xml:space="preserve">بطاقة ١ — الإحماء والتهيئة البدنية</w:t>
      </w:r>
    </w:p>
    <w:p w14:paraId="3EE68C78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  <w:color w:val="FF0000"/>
          <w:b/>
          <w:bCs/>
        </w:rPr>
        <w:lastRenderedPageBreak/>
        <w:t xml:space="preserve">الإحماء بالحبال والدوائر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center"/>
        <w:rPr>
          <w:rFonts w:ascii="Comic Sans MS" w:hAnsi="Comic Sans MS"/>
          <w:b/>
          <w:bCs/>
          <w:color w:val="FF0000"/>
          <w:rtl/>
          <w:lang w:bidi="ar-QA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noProof/>
        </w:rPr>
        <w:drawing>
          <wp:inline distT="0" distB="0" distL="0" distR="0">
            <wp:extent cx="5400000" cy="1818367"/>
            <wp:effectExtent l="0" t="0" r="0" b="0"/>
            <wp:docPr id="5005" name="Picture 5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5" name="dg500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1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BE9F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  <w:color w:val="0070C0"/>
          <w:b/>
          <w:bCs/>
        </w:rPr>
        <w:t xml:space="preserve">خطوات التنفيذ: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• محطات فردية: وثب داخل الدوائر · خطو فوق الحبال.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• دورة كاملة على المحطات بإيقاع هادئ.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• ختام بإطالة ثابتة خفيفة للساقين.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/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التنظيم: محطات دائرية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الأدوات: حبال · دوائر (أطواق)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الزمن: ٥-٦ دق</w:t>
      </w:r>
    </w:p>
    <w:p w14:paraId="3EE68C78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  <w:color w:val="FF0000"/>
        </w:rPr>
        <w:lastRenderedPageBreak/>
        <w:t xml:space="preserve">السلامة: ترتيب الأدوات بعيدًا عن مسار الجري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تبسيط للمتعثرين: تقليل عدد المحطات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تحدٍّ للمتقنين: ربط المحطات بزمن محدد لكل محطة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br w:type="page"/>
        <w:t xml:space="preserve"/>
      </w:r>
    </w:p>
    <w:p w14:paraId="3EE68C78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  <w:color w:val="FF0000"/>
          <w:b/>
          <w:bCs/>
        </w:rPr>
        <w:lastRenderedPageBreak/>
        <w:t xml:space="preserve">بطاقة ٢ — أولًا: اللعبة / النشاط المعدّل</w:t>
      </w:r>
    </w:p>
    <w:p w14:paraId="3EE68C78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  <w:color w:val="FF0000"/>
          <w:b/>
          <w:bCs/>
        </w:rPr>
        <w:lastRenderedPageBreak/>
        <w:t xml:space="preserve">سجل المتابعة اليومي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center"/>
        <w:rPr>
          <w:rFonts w:ascii="Comic Sans MS" w:hAnsi="Comic Sans MS"/>
          <w:b/>
          <w:bCs/>
          <w:color w:val="FF0000"/>
          <w:rtl/>
          <w:lang w:bidi="ar-QA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noProof/>
        </w:rPr>
        <w:drawing>
          <wp:inline distT="0" distB="0" distL="0" distR="0">
            <wp:extent cx="5400000" cy="1818367"/>
            <wp:effectExtent l="0" t="0" r="0" b="0"/>
            <wp:docPr id="5006" name="Picture 5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6" name="dg500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1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BE9F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  <w:color w:val="0070C0"/>
          <w:b/>
          <w:bCs/>
        </w:rPr>
        <w:t xml:space="preserve">خطوات التنفيذ: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• تنفيذ جزء من الخطة الشخصية عمليًا.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• تسجيل: النشاط · الزمن · التكرارات · الإحساس بالجهد.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• مقارنة السجل بالأسبوع السابق واستنتاج التقدم.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/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التنظيم: عمل فردي ضمن مساحة مشتركة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الأدوات: سجل متابعة · قلم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الزمن: ١٨-٢٠ دق</w:t>
      </w:r>
    </w:p>
    <w:p w14:paraId="3EE68C78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  <w:color w:val="FF0000"/>
        </w:rPr>
        <w:lastRenderedPageBreak/>
        <w:t xml:space="preserve">السلامة: الالتزام بحدود القدرة الفردية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تبسيط للمتعثرين: تسجيل عنصرين فقط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تحدٍّ للمتقنين: تحليل الاتجاه العام للتقدم عبر أسبوعين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br w:type="page"/>
        <w:t xml:space="preserve"/>
      </w:r>
    </w:p>
    <w:p w14:paraId="3EE68C78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  <w:color w:val="FF0000"/>
          <w:b/>
          <w:bCs/>
        </w:rPr>
        <w:lastRenderedPageBreak/>
        <w:t xml:space="preserve">بطاقة ٣ — ثالثًا: تنفيذ المهارة وتطوير المبدأ</w:t>
      </w:r>
    </w:p>
    <w:p w14:paraId="3EE68C78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  <w:color w:val="FF0000"/>
          <w:b/>
          <w:bCs/>
        </w:rPr>
        <w:lastRenderedPageBreak/>
        <w:t xml:space="preserve">التحمل المتدرج بالإيقاع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center"/>
        <w:rPr>
          <w:rFonts w:ascii="Comic Sans MS" w:hAnsi="Comic Sans MS"/>
          <w:b/>
          <w:bCs/>
          <w:color w:val="FF0000"/>
          <w:rtl/>
          <w:lang w:bidi="ar-QA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noProof/>
        </w:rPr>
        <w:drawing>
          <wp:inline distT="0" distB="0" distL="0" distR="0">
            <wp:extent cx="5400000" cy="1818367"/>
            <wp:effectExtent l="0" t="0" r="0" b="0"/>
            <wp:docPr id="5007" name="Picture 5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7" name="dg500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1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BE9F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  <w:color w:val="0070C0"/>
          <w:b/>
          <w:bCs/>
        </w:rPr>
        <w:t xml:space="preserve">خطوات التنفيذ: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• جري متواصل بإيقاع ثابت ٤ دقائق.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• فترة راحة نشطة بالمشي دقيقة واحدة.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• تكرار الجولة مع مراقبة انتظام التنفس.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/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التنظيم: مسار محدد بالأقماع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الأدوات: أقماع · ساعة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الزمن: ٢٠ دق</w:t>
      </w:r>
    </w:p>
    <w:p w14:paraId="3EE68C78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  <w:color w:val="FF0000"/>
        </w:rPr>
        <w:lastRenderedPageBreak/>
        <w:t xml:space="preserve">السلامة: إيقاف الطالب عند ظهور علامات إجهاد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تبسيط للمتعثرين: تقصير زمن الجري إلى دقيقتين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تحدٍّ للمتقنين: زيادة الجولات أو تسريع الإيقاع تدريجيًا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br w:type="page"/>
        <w:t xml:space="preserve"/>
      </w:r>
    </w:p>
    <w:p w14:paraId="3EE68C78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  <w:color w:val="FF0000"/>
          <w:b/>
          <w:bCs/>
        </w:rPr>
        <w:lastRenderedPageBreak/>
        <w:t xml:space="preserve">بطاقة ٤ — الغلق الختامي</w:t>
      </w:r>
    </w:p>
    <w:p w14:paraId="3EE68C78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  <w:color w:val="FF0000"/>
          <w:b/>
          <w:bCs/>
        </w:rPr>
        <w:lastRenderedPageBreak/>
        <w:t xml:space="preserve">الغلق بالتغذية الراجعة الإيجابية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center"/>
        <w:rPr>
          <w:rFonts w:ascii="Comic Sans MS" w:hAnsi="Comic Sans MS"/>
          <w:b/>
          <w:bCs/>
          <w:color w:val="FF0000"/>
          <w:rtl/>
          <w:lang w:bidi="ar-QA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noProof/>
        </w:rPr>
        <w:drawing>
          <wp:inline distT="0" distB="0" distL="0" distR="0">
            <wp:extent cx="5400000" cy="1818367"/>
            <wp:effectExtent l="0" t="0" r="0" b="0"/>
            <wp:docPr id="5008" name="Picture 5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8" name="dg500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1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BE9F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  <w:color w:val="0070C0"/>
          <w:b/>
          <w:bCs/>
        </w:rPr>
        <w:t xml:space="preserve">خطوات التنفيذ: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• مشي تهدئة في دائرة.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• كل طالب يوجه ملاحظة إيجابية محددة لزميل.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• إطالة ختامية وتوجيه الواجب.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/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التنظيم: —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الأدوات: —</w:t>
      </w:r>
    </w:p>
    <w:p w14:paraId="1748AA3D" w14:textId="77777777" w:rsidR="00142187" w:rsidRPr="004B5402" w:rsidRDefault="009F5737" w:rsidP="005A4AB6">
      <w:pPr>
        <w:autoSpaceDE w:val="0"/>
        <w:autoSpaceDN w:val="0"/>
        <w:bidi/>
        <w:adjustRightInd w:val="0"/>
        <w:jc w:val="both"/>
        <w:rPr>
          <w:rFonts w:ascii="Comic Sans MS" w:hAnsi="Comic Sans MS"/>
          <w:b/>
          <w:bCs/>
          <w:color w:val="FF0000"/>
          <w:rtl/>
          <w:lang w:bidi="ar-QA"/>
        </w:rPr>
      </w:pPr>
      <w:r>
        <w:rPr>
          <w:rFonts w:ascii="Comic Sans MS" w:hAnsi="Comic Sans MS" w:hint="cs"/>
          <w:rtl/>
          <w:lang w:bidi="ar-QA"/>
        </w:rPr>
        <w:t xml:space="preserve">الزمن: ٥-٧ دق</w:t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g1.jpeg"/><Relationship Id="rId27" Type="http://schemas.openxmlformats.org/officeDocument/2006/relationships/image" Target="media/dg2.jpeg"/><Relationship Id="rId28" Type="http://schemas.openxmlformats.org/officeDocument/2006/relationships/image" Target="media/dg3.jpeg"/><Relationship Id="rId29" Type="http://schemas.openxmlformats.org/officeDocument/2006/relationships/image" Target="media/dg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التحضير اليومية</dc:title>
  <dc:creator/>
  <cp:lastModifiedBy/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