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EB8A2" w14:textId="4A3761BD" w:rsidR="00A54636" w:rsidRPr="00472481" w:rsidRDefault="00034F6F" w:rsidP="00472481">
      <w:pPr>
        <w:jc w:val="both"/>
        <w:rPr>
          <w:rFonts w:ascii="Times New Roman" w:hAnsi="Times New Roman" w:cs="Times New Roman"/>
          <w:b/>
          <w:bCs/>
          <w:sz w:val="28"/>
          <w:szCs w:val="28"/>
        </w:rPr>
      </w:pPr>
      <w:r w:rsidRPr="00472481">
        <w:rPr>
          <w:rFonts w:ascii="Times New Roman" w:hAnsi="Times New Roman" w:cs="Times New Roman"/>
          <w:b/>
          <w:bCs/>
          <w:sz w:val="32"/>
          <w:szCs w:val="32"/>
          <w:u w:val="single"/>
        </w:rPr>
        <w:t>Sujet :</w:t>
      </w:r>
      <w:r w:rsidRPr="00472481">
        <w:rPr>
          <w:rFonts w:ascii="Times New Roman" w:hAnsi="Times New Roman" w:cs="Times New Roman"/>
          <w:b/>
          <w:bCs/>
          <w:sz w:val="28"/>
          <w:szCs w:val="28"/>
        </w:rPr>
        <w:t xml:space="preserve"> Une Démocratie féminisée ? </w:t>
      </w:r>
    </w:p>
    <w:p w14:paraId="1DAF39EC" w14:textId="77777777" w:rsidR="00034F6F" w:rsidRPr="00472481" w:rsidRDefault="00034F6F" w:rsidP="00472481">
      <w:pPr>
        <w:jc w:val="both"/>
        <w:rPr>
          <w:rFonts w:ascii="Times New Roman" w:hAnsi="Times New Roman" w:cs="Times New Roman"/>
        </w:rPr>
      </w:pPr>
    </w:p>
    <w:p w14:paraId="546B8CBD" w14:textId="606094A3" w:rsidR="00034F6F" w:rsidRPr="00472481" w:rsidRDefault="00034F6F" w:rsidP="00472481">
      <w:pPr>
        <w:jc w:val="both"/>
        <w:rPr>
          <w:rFonts w:ascii="Times New Roman" w:hAnsi="Times New Roman" w:cs="Times New Roman"/>
          <w:b/>
          <w:bCs/>
          <w:sz w:val="28"/>
          <w:szCs w:val="28"/>
          <w:u w:val="single"/>
        </w:rPr>
      </w:pPr>
      <w:r w:rsidRPr="00472481">
        <w:rPr>
          <w:rFonts w:ascii="Times New Roman" w:hAnsi="Times New Roman" w:cs="Times New Roman"/>
          <w:b/>
          <w:bCs/>
          <w:sz w:val="28"/>
          <w:szCs w:val="28"/>
          <w:u w:val="single"/>
        </w:rPr>
        <w:t xml:space="preserve">INTRODUCTION : </w:t>
      </w:r>
    </w:p>
    <w:p w14:paraId="6A0D1246" w14:textId="357E36D2" w:rsidR="00034F6F" w:rsidRPr="00472481" w:rsidRDefault="00034F6F" w:rsidP="00472481">
      <w:pPr>
        <w:jc w:val="both"/>
        <w:rPr>
          <w:rFonts w:ascii="Times New Roman" w:hAnsi="Times New Roman" w:cs="Times New Roman"/>
        </w:rPr>
      </w:pPr>
      <w:r w:rsidRPr="00472481">
        <w:rPr>
          <w:rFonts w:ascii="Times New Roman" w:hAnsi="Times New Roman" w:cs="Times New Roman"/>
        </w:rPr>
        <w:t>A l’aube du régime démocratique, l’Assemblée constituante, formée par la réunion des États Généraux, a martelé à l’été 1789 l’égalité comme principe fondateur de la politique française. Ce principe d’égalité est</w:t>
      </w:r>
      <w:r w:rsidR="00A36011" w:rsidRPr="00472481">
        <w:rPr>
          <w:rFonts w:ascii="Times New Roman" w:hAnsi="Times New Roman" w:cs="Times New Roman"/>
        </w:rPr>
        <w:t xml:space="preserve"> </w:t>
      </w:r>
      <w:r w:rsidRPr="00472481">
        <w:rPr>
          <w:rFonts w:ascii="Times New Roman" w:hAnsi="Times New Roman" w:cs="Times New Roman"/>
        </w:rPr>
        <w:t xml:space="preserve">consacré aux articles 1 et 6 </w:t>
      </w:r>
      <w:r w:rsidR="00040E82" w:rsidRPr="00472481">
        <w:rPr>
          <w:rFonts w:ascii="Times New Roman" w:hAnsi="Times New Roman" w:cs="Times New Roman"/>
        </w:rPr>
        <w:t>de la Déclaration des droits de l'homme et du citoyen de 1789.</w:t>
      </w:r>
      <w:r w:rsidR="00040E82" w:rsidRPr="00472481">
        <w:rPr>
          <w:rStyle w:val="Appelnotedebasdep"/>
          <w:rFonts w:ascii="Times New Roman" w:hAnsi="Times New Roman" w:cs="Times New Roman"/>
        </w:rPr>
        <w:footnoteReference w:id="1"/>
      </w:r>
      <w:r w:rsidR="00040E82" w:rsidRPr="00472481">
        <w:rPr>
          <w:rFonts w:ascii="Times New Roman" w:hAnsi="Times New Roman" w:cs="Times New Roman"/>
        </w:rPr>
        <w:t xml:space="preserve"> De cette déclaration, la démocratie française se veut égalitaire dés son origine. Pourtant, dans la pratique, ce principe d’égalité</w:t>
      </w:r>
      <w:r w:rsidR="00A36011" w:rsidRPr="00472481">
        <w:rPr>
          <w:rFonts w:ascii="Times New Roman" w:hAnsi="Times New Roman" w:cs="Times New Roman"/>
        </w:rPr>
        <w:t xml:space="preserve"> a été pendant longtemps une sorte de mythe pour la moitié du corps civique. Les Françaises n'ont voté qu'en 1945, après l'ordonnance du 21 avril 1944.</w:t>
      </w:r>
      <w:r w:rsidR="00A36011" w:rsidRPr="00472481">
        <w:rPr>
          <w:rStyle w:val="Appelnotedebasdep"/>
          <w:rFonts w:ascii="Times New Roman" w:hAnsi="Times New Roman" w:cs="Times New Roman"/>
        </w:rPr>
        <w:footnoteReference w:id="2"/>
      </w:r>
    </w:p>
    <w:p w14:paraId="635FE77B" w14:textId="759B39EC" w:rsidR="00397FB8" w:rsidRPr="00472481" w:rsidRDefault="00397FB8" w:rsidP="00472481">
      <w:pPr>
        <w:jc w:val="both"/>
        <w:rPr>
          <w:rFonts w:ascii="Times New Roman" w:hAnsi="Times New Roman" w:cs="Times New Roman"/>
        </w:rPr>
      </w:pPr>
      <w:r w:rsidRPr="00472481">
        <w:rPr>
          <w:rFonts w:ascii="Times New Roman" w:hAnsi="Times New Roman" w:cs="Times New Roman"/>
        </w:rPr>
        <w:t xml:space="preserve">Par démocratie féminisée, on entend l’idéal démocratique. Autrement dit, une démocratie féminisée est une démocratie effective, où les citoyens et les citoyennes auront par principe les mêmes droits et les mêmes devoirs. Dans cet idéal démocratique, les femmes ne sont pas seulement électrices, mais aussi élues et détentrices du pouvoir, en proportion de leur place dans la société. </w:t>
      </w:r>
    </w:p>
    <w:p w14:paraId="2C7233A5" w14:textId="6F4ED178" w:rsidR="006F1098" w:rsidRPr="00472481" w:rsidRDefault="006F1098" w:rsidP="00472481">
      <w:pPr>
        <w:jc w:val="both"/>
        <w:rPr>
          <w:rFonts w:ascii="Times New Roman" w:hAnsi="Times New Roman" w:cs="Times New Roman"/>
        </w:rPr>
      </w:pPr>
      <w:r w:rsidRPr="00472481">
        <w:rPr>
          <w:rFonts w:ascii="Times New Roman" w:hAnsi="Times New Roman" w:cs="Times New Roman"/>
        </w:rPr>
        <w:t>Au regard de cela, une question s’impose à l’évidence : Dans quelle mesure le droit permet-il de dépasser la conception historiquement masculine de la démocratie afin de garantir une participation effective et égalitaire des femmes à l’exercice du pouvoir politique ?</w:t>
      </w:r>
    </w:p>
    <w:p w14:paraId="18BE5262" w14:textId="5796FF12" w:rsidR="00BE70CC" w:rsidRPr="00472481" w:rsidRDefault="00BE70CC" w:rsidP="00472481">
      <w:pPr>
        <w:jc w:val="both"/>
        <w:rPr>
          <w:rFonts w:ascii="Times New Roman" w:hAnsi="Times New Roman" w:cs="Times New Roman"/>
        </w:rPr>
      </w:pPr>
      <w:r w:rsidRPr="00472481">
        <w:rPr>
          <w:rFonts w:ascii="Times New Roman" w:hAnsi="Times New Roman" w:cs="Times New Roman"/>
        </w:rPr>
        <w:t>L'égalité démocratique porte impérativement une exigence de féminisation que le droit a mis longtemps à reconnaître (I). Une fois consacrée, cette exigence a produit une féminisation réelle mais inachevée (II).</w:t>
      </w:r>
    </w:p>
    <w:p w14:paraId="42E9A4EA" w14:textId="7B7840C5" w:rsidR="00BE70CC" w:rsidRPr="00472481" w:rsidRDefault="00BE70CC" w:rsidP="00472481">
      <w:pPr>
        <w:jc w:val="both"/>
        <w:rPr>
          <w:rFonts w:ascii="Times New Roman" w:hAnsi="Times New Roman" w:cs="Times New Roman"/>
        </w:rPr>
      </w:pPr>
      <w:r w:rsidRPr="00472481">
        <w:rPr>
          <w:rFonts w:ascii="Times New Roman" w:hAnsi="Times New Roman" w:cs="Times New Roman"/>
        </w:rPr>
        <w:br w:type="page"/>
      </w:r>
    </w:p>
    <w:p w14:paraId="3DA4CD5B" w14:textId="4F00A656" w:rsidR="00BE70CC" w:rsidRPr="00472481" w:rsidRDefault="00BE70CC" w:rsidP="00472481">
      <w:pPr>
        <w:pStyle w:val="Paragraphedeliste"/>
        <w:numPr>
          <w:ilvl w:val="0"/>
          <w:numId w:val="1"/>
        </w:numPr>
        <w:spacing w:before="100" w:beforeAutospacing="1" w:after="100" w:afterAutospacing="1" w:line="240" w:lineRule="auto"/>
        <w:jc w:val="both"/>
        <w:outlineLvl w:val="1"/>
        <w:rPr>
          <w:rFonts w:ascii="Times New Roman" w:eastAsia="Times New Roman" w:hAnsi="Times New Roman" w:cs="Times New Roman"/>
          <w:b/>
          <w:bCs/>
          <w:kern w:val="0"/>
          <w:sz w:val="28"/>
          <w:szCs w:val="28"/>
          <w:lang w:eastAsia="fr-FR"/>
          <w14:ligatures w14:val="none"/>
        </w:rPr>
      </w:pPr>
      <w:r w:rsidRPr="00472481">
        <w:rPr>
          <w:rFonts w:ascii="Times New Roman" w:eastAsia="Times New Roman" w:hAnsi="Times New Roman" w:cs="Times New Roman"/>
          <w:b/>
          <w:bCs/>
          <w:kern w:val="0"/>
          <w:sz w:val="28"/>
          <w:szCs w:val="28"/>
          <w:lang w:eastAsia="fr-FR"/>
          <w14:ligatures w14:val="none"/>
        </w:rPr>
        <w:lastRenderedPageBreak/>
        <w:t>L'égalité démocratique, fondement d'une exigence de féminisation longtemps contrariée</w:t>
      </w:r>
    </w:p>
    <w:p w14:paraId="206E42FA" w14:textId="57AF3904" w:rsidR="00BE70CC" w:rsidRPr="00472481" w:rsidRDefault="00363602" w:rsidP="00472481">
      <w:pPr>
        <w:spacing w:before="100" w:beforeAutospacing="1" w:after="100" w:afterAutospacing="1" w:line="240" w:lineRule="auto"/>
        <w:ind w:left="360"/>
        <w:jc w:val="both"/>
        <w:outlineLvl w:val="1"/>
        <w:rPr>
          <w:rFonts w:ascii="Times New Roman" w:eastAsia="Times New Roman" w:hAnsi="Times New Roman" w:cs="Times New Roman"/>
          <w:kern w:val="0"/>
          <w:lang w:eastAsia="fr-FR"/>
          <w14:ligatures w14:val="none"/>
        </w:rPr>
      </w:pPr>
      <w:r w:rsidRPr="00472481">
        <w:rPr>
          <w:rFonts w:ascii="Times New Roman" w:eastAsia="Times New Roman" w:hAnsi="Times New Roman" w:cs="Times New Roman"/>
          <w:kern w:val="0"/>
          <w:lang w:eastAsia="fr-FR"/>
          <w14:ligatures w14:val="none"/>
        </w:rPr>
        <w:t xml:space="preserve">La démocratie emporte le principe d’égalité universelle dans son principe. Ce principe à été longtemps exclu dans sa pratique (A). De cette exclusion, est née une nouvelle forme d’égalité dite le principe de parité (B). </w:t>
      </w:r>
    </w:p>
    <w:p w14:paraId="25AA4376" w14:textId="77777777" w:rsidR="00972604" w:rsidRPr="00472481" w:rsidRDefault="00972604" w:rsidP="00472481">
      <w:pPr>
        <w:spacing w:before="100" w:beforeAutospacing="1" w:after="100" w:afterAutospacing="1" w:line="240" w:lineRule="auto"/>
        <w:ind w:left="360"/>
        <w:jc w:val="both"/>
        <w:outlineLvl w:val="1"/>
        <w:rPr>
          <w:rFonts w:ascii="Times New Roman" w:eastAsia="Times New Roman" w:hAnsi="Times New Roman" w:cs="Times New Roman"/>
          <w:kern w:val="0"/>
          <w:lang w:eastAsia="fr-FR"/>
          <w14:ligatures w14:val="none"/>
        </w:rPr>
      </w:pPr>
    </w:p>
    <w:p w14:paraId="08E536B6" w14:textId="77777777" w:rsidR="00972604" w:rsidRPr="00472481" w:rsidRDefault="00972604" w:rsidP="00472481">
      <w:pPr>
        <w:pStyle w:val="Paragraphedeliste"/>
        <w:numPr>
          <w:ilvl w:val="0"/>
          <w:numId w:val="2"/>
        </w:num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fr-FR"/>
          <w14:ligatures w14:val="none"/>
        </w:rPr>
      </w:pPr>
      <w:r w:rsidRPr="00472481">
        <w:rPr>
          <w:rFonts w:ascii="Times New Roman" w:eastAsia="Times New Roman" w:hAnsi="Times New Roman" w:cs="Times New Roman"/>
          <w:b/>
          <w:bCs/>
          <w:kern w:val="0"/>
          <w:sz w:val="28"/>
          <w:szCs w:val="28"/>
          <w:lang w:eastAsia="fr-FR"/>
          <w14:ligatures w14:val="none"/>
        </w:rPr>
        <w:t>Une égalité universelle dans son principe, exclusive dans sa pratique</w:t>
      </w:r>
    </w:p>
    <w:p w14:paraId="3E5C5198" w14:textId="77777777" w:rsidR="00FB0EA7" w:rsidRPr="00472481" w:rsidRDefault="00972604" w:rsidP="00472481">
      <w:pPr>
        <w:spacing w:before="100" w:beforeAutospacing="1" w:after="100" w:afterAutospacing="1" w:line="240" w:lineRule="auto"/>
        <w:jc w:val="both"/>
        <w:outlineLvl w:val="2"/>
        <w:rPr>
          <w:rFonts w:ascii="Times New Roman" w:eastAsia="Times New Roman" w:hAnsi="Times New Roman" w:cs="Times New Roman"/>
          <w:kern w:val="0"/>
          <w:lang w:eastAsia="fr-FR"/>
          <w14:ligatures w14:val="none"/>
        </w:rPr>
      </w:pPr>
      <w:r w:rsidRPr="00472481">
        <w:rPr>
          <w:rFonts w:ascii="Times New Roman" w:eastAsia="Times New Roman" w:hAnsi="Times New Roman" w:cs="Times New Roman"/>
          <w:kern w:val="0"/>
          <w:lang w:eastAsia="fr-FR"/>
          <w14:ligatures w14:val="none"/>
        </w:rPr>
        <w:t xml:space="preserve">La démocratie athénienne, l’ancêtre de la démocratie moderne, a marqué une rupture anthropologique avec les grands empires orientaux. Elle met la participation des citoyens au cœur de la chose publique. </w:t>
      </w:r>
      <w:r w:rsidR="005D10B8" w:rsidRPr="00472481">
        <w:rPr>
          <w:rFonts w:ascii="Times New Roman" w:eastAsia="Times New Roman" w:hAnsi="Times New Roman" w:cs="Times New Roman"/>
          <w:kern w:val="0"/>
          <w:lang w:eastAsia="fr-FR"/>
          <w14:ligatures w14:val="none"/>
        </w:rPr>
        <w:t xml:space="preserve">Dans la démocratie athénienne, on entend par citoyen un homme libre, âgé de 18 ans (éphébie), né de père et de mère athéniens </w:t>
      </w:r>
      <w:r w:rsidR="005D10B8" w:rsidRPr="00472481">
        <w:rPr>
          <w:rStyle w:val="Appelnotedebasdep"/>
          <w:rFonts w:ascii="Times New Roman" w:eastAsia="Times New Roman" w:hAnsi="Times New Roman" w:cs="Times New Roman"/>
          <w:kern w:val="0"/>
          <w:lang w:eastAsia="fr-FR"/>
          <w14:ligatures w14:val="none"/>
        </w:rPr>
        <w:footnoteReference w:id="3"/>
      </w:r>
      <w:r w:rsidR="005D10B8" w:rsidRPr="00472481">
        <w:rPr>
          <w:rFonts w:ascii="Times New Roman" w:eastAsia="Times New Roman" w:hAnsi="Times New Roman" w:cs="Times New Roman"/>
          <w:kern w:val="0"/>
          <w:lang w:eastAsia="fr-FR"/>
          <w14:ligatures w14:val="none"/>
        </w:rPr>
        <w:t xml:space="preserve">. Cette conception de citoyenneté exclut les femmes et les esclaves de la citoyenneté, et donc, de la démocratie. </w:t>
      </w:r>
    </w:p>
    <w:p w14:paraId="60453C2D" w14:textId="77777777" w:rsidR="00FB0EA7" w:rsidRPr="00472481" w:rsidRDefault="00FB0EA7" w:rsidP="00472481">
      <w:pPr>
        <w:spacing w:before="100" w:beforeAutospacing="1" w:after="100" w:afterAutospacing="1" w:line="240" w:lineRule="auto"/>
        <w:jc w:val="both"/>
        <w:outlineLvl w:val="2"/>
        <w:rPr>
          <w:rFonts w:ascii="Times New Roman" w:eastAsia="Times New Roman" w:hAnsi="Times New Roman" w:cs="Times New Roman"/>
          <w:kern w:val="0"/>
          <w:lang w:eastAsia="fr-FR"/>
          <w14:ligatures w14:val="none"/>
        </w:rPr>
      </w:pPr>
      <w:r w:rsidRPr="00472481">
        <w:rPr>
          <w:rFonts w:ascii="Times New Roman" w:eastAsia="Times New Roman" w:hAnsi="Times New Roman" w:cs="Times New Roman"/>
          <w:kern w:val="0"/>
          <w:lang w:eastAsia="fr-FR"/>
          <w14:ligatures w14:val="none"/>
        </w:rPr>
        <w:t xml:space="preserve">L'universalisme moderne change la donne sans régler la question. La Déclaration de 1789 proclame une égalité générale et abstraite dans ses articles 1 et 6. Cette généralité permet de dénoncer l'exclusion des femmes comme une contradiction interne. A cet effet, dés 1791, l’immense femme de lettre Olympe de Gouges dénonce cette contradiction et plaide pour l’égalité civile et politique, le droit au divorce et l’émancipation féminine </w:t>
      </w:r>
      <w:r w:rsidRPr="00472481">
        <w:rPr>
          <w:rStyle w:val="Appelnotedebasdep"/>
          <w:rFonts w:ascii="Times New Roman" w:eastAsia="Times New Roman" w:hAnsi="Times New Roman" w:cs="Times New Roman"/>
          <w:kern w:val="0"/>
          <w:lang w:eastAsia="fr-FR"/>
          <w14:ligatures w14:val="none"/>
        </w:rPr>
        <w:footnoteReference w:id="4"/>
      </w:r>
      <w:r w:rsidRPr="00472481">
        <w:rPr>
          <w:rFonts w:ascii="Times New Roman" w:eastAsia="Times New Roman" w:hAnsi="Times New Roman" w:cs="Times New Roman"/>
          <w:kern w:val="0"/>
          <w:lang w:eastAsia="fr-FR"/>
          <w14:ligatures w14:val="none"/>
        </w:rPr>
        <w:t xml:space="preserve">. </w:t>
      </w:r>
    </w:p>
    <w:p w14:paraId="5D4FD09B" w14:textId="5A02B455" w:rsidR="009D5E8B" w:rsidRPr="00472481" w:rsidRDefault="00FB0EA7" w:rsidP="00472481">
      <w:pPr>
        <w:spacing w:before="100" w:beforeAutospacing="1" w:after="100" w:afterAutospacing="1" w:line="240" w:lineRule="auto"/>
        <w:jc w:val="both"/>
        <w:outlineLvl w:val="2"/>
        <w:rPr>
          <w:rFonts w:ascii="Times New Roman" w:eastAsia="Times New Roman" w:hAnsi="Times New Roman" w:cs="Times New Roman"/>
          <w:kern w:val="0"/>
          <w:lang w:eastAsia="fr-FR"/>
          <w14:ligatures w14:val="none"/>
        </w:rPr>
      </w:pPr>
      <w:r w:rsidRPr="00472481">
        <w:rPr>
          <w:rFonts w:ascii="Times New Roman" w:eastAsia="Times New Roman" w:hAnsi="Times New Roman" w:cs="Times New Roman"/>
          <w:kern w:val="0"/>
          <w:lang w:eastAsia="fr-FR"/>
          <w14:ligatures w14:val="none"/>
        </w:rPr>
        <w:t xml:space="preserve">En dépit de tout, le droit positif maintient cette exclusion. Le « suffrage universel » de 1848 est exclusivement masculin. Selon Achin et Lévêque, l'individu abstrait des républicains a été dès l'origine une notion sexuée : la référence aux « différences naturelles » a justifié de priver les femmes de citoyenneté politique </w:t>
      </w:r>
      <w:r w:rsidRPr="00472481">
        <w:rPr>
          <w:rStyle w:val="Appelnotedebasdep"/>
          <w:rFonts w:ascii="Times New Roman" w:eastAsia="Times New Roman" w:hAnsi="Times New Roman" w:cs="Times New Roman"/>
          <w:kern w:val="0"/>
          <w:lang w:eastAsia="fr-FR"/>
          <w14:ligatures w14:val="none"/>
        </w:rPr>
        <w:footnoteReference w:id="5"/>
      </w:r>
      <w:r w:rsidRPr="00472481">
        <w:rPr>
          <w:rFonts w:ascii="Times New Roman" w:eastAsia="Times New Roman" w:hAnsi="Times New Roman" w:cs="Times New Roman"/>
          <w:kern w:val="0"/>
          <w:lang w:eastAsia="fr-FR"/>
          <w14:ligatures w14:val="none"/>
        </w:rPr>
        <w:t>. Elles reprennent là les analyses de Joan W. Scott et d'Eleni Varikas : la démocratie s'est servie de la loi générale pour légitimer la domination masculine.</w:t>
      </w:r>
      <w:r w:rsidR="009D5E8B" w:rsidRPr="00472481">
        <w:rPr>
          <w:rFonts w:ascii="Times New Roman" w:eastAsia="Times New Roman" w:hAnsi="Times New Roman" w:cs="Times New Roman"/>
          <w:kern w:val="0"/>
          <w:lang w:eastAsia="fr-FR"/>
          <w14:ligatures w14:val="none"/>
        </w:rPr>
        <w:t xml:space="preserve"> Il faut attendre jusqu’au 21 avril 1944 pour que le droit de vote soit enfin accordé. </w:t>
      </w:r>
    </w:p>
    <w:p w14:paraId="2B8FFD94" w14:textId="77777777" w:rsidR="00A8438C" w:rsidRPr="00472481" w:rsidRDefault="009D5E8B" w:rsidP="00472481">
      <w:pPr>
        <w:spacing w:before="100" w:beforeAutospacing="1" w:after="100" w:afterAutospacing="1" w:line="240" w:lineRule="auto"/>
        <w:jc w:val="both"/>
        <w:outlineLvl w:val="2"/>
        <w:rPr>
          <w:rFonts w:ascii="Times New Roman" w:eastAsia="Times New Roman" w:hAnsi="Times New Roman" w:cs="Times New Roman"/>
          <w:kern w:val="0"/>
          <w:lang w:eastAsia="fr-FR"/>
          <w14:ligatures w14:val="none"/>
        </w:rPr>
      </w:pPr>
      <w:r w:rsidRPr="00472481">
        <w:rPr>
          <w:rFonts w:ascii="Times New Roman" w:eastAsia="Times New Roman" w:hAnsi="Times New Roman" w:cs="Times New Roman"/>
          <w:kern w:val="0"/>
          <w:lang w:eastAsia="fr-FR"/>
          <w14:ligatures w14:val="none"/>
        </w:rPr>
        <w:t xml:space="preserve">Le Préambule de 1946 garantit ensuite à la femme « dans tous les domaines, des droits égaux à ceux de l'homme » </w:t>
      </w:r>
      <w:r w:rsidRPr="00472481">
        <w:rPr>
          <w:rStyle w:val="Appelnotedebasdep"/>
          <w:rFonts w:ascii="Times New Roman" w:eastAsia="Times New Roman" w:hAnsi="Times New Roman" w:cs="Times New Roman"/>
          <w:kern w:val="0"/>
          <w:lang w:eastAsia="fr-FR"/>
          <w14:ligatures w14:val="none"/>
        </w:rPr>
        <w:footnoteReference w:id="6"/>
      </w:r>
      <w:r w:rsidRPr="00472481">
        <w:rPr>
          <w:rFonts w:ascii="Times New Roman" w:eastAsia="Times New Roman" w:hAnsi="Times New Roman" w:cs="Times New Roman"/>
          <w:kern w:val="0"/>
          <w:lang w:eastAsia="fr-FR"/>
          <w14:ligatures w14:val="none"/>
        </w:rPr>
        <w:t>.</w:t>
      </w:r>
      <w:r w:rsidR="00AA407D" w:rsidRPr="00472481">
        <w:rPr>
          <w:rFonts w:ascii="Times New Roman" w:eastAsia="Times New Roman" w:hAnsi="Times New Roman" w:cs="Times New Roman"/>
          <w:kern w:val="0"/>
          <w:lang w:eastAsia="fr-FR"/>
          <w14:ligatures w14:val="none"/>
        </w:rPr>
        <w:t xml:space="preserve"> La </w:t>
      </w:r>
      <w:r w:rsidR="00A8438C" w:rsidRPr="00472481">
        <w:rPr>
          <w:rFonts w:ascii="Times New Roman" w:eastAsia="Times New Roman" w:hAnsi="Times New Roman" w:cs="Times New Roman"/>
          <w:kern w:val="0"/>
          <w:lang w:eastAsia="fr-FR"/>
          <w14:ligatures w14:val="none"/>
        </w:rPr>
        <w:t xml:space="preserve">Constitution de la </w:t>
      </w:r>
      <w:r w:rsidR="00AA407D" w:rsidRPr="00472481">
        <w:rPr>
          <w:rFonts w:ascii="Times New Roman" w:eastAsia="Times New Roman" w:hAnsi="Times New Roman" w:cs="Times New Roman"/>
          <w:kern w:val="0"/>
          <w:lang w:eastAsia="fr-FR"/>
          <w14:ligatures w14:val="none"/>
        </w:rPr>
        <w:t xml:space="preserve">cinquième République </w:t>
      </w:r>
      <w:r w:rsidR="00A8438C" w:rsidRPr="00472481">
        <w:rPr>
          <w:rFonts w:ascii="Times New Roman" w:eastAsia="Times New Roman" w:hAnsi="Times New Roman" w:cs="Times New Roman"/>
          <w:kern w:val="0"/>
          <w:lang w:eastAsia="fr-FR"/>
          <w14:ligatures w14:val="none"/>
        </w:rPr>
        <w:t xml:space="preserve">de 1958 </w:t>
      </w:r>
      <w:r w:rsidR="00AA407D" w:rsidRPr="00472481">
        <w:rPr>
          <w:rFonts w:ascii="Times New Roman" w:eastAsia="Times New Roman" w:hAnsi="Times New Roman" w:cs="Times New Roman"/>
          <w:kern w:val="0"/>
          <w:lang w:eastAsia="fr-FR"/>
          <w14:ligatures w14:val="none"/>
        </w:rPr>
        <w:t>va réaffirmer cette égalité dans l’alinéa 2 de son article son premier article</w:t>
      </w:r>
      <w:r w:rsidR="00FA3BB1" w:rsidRPr="00472481">
        <w:rPr>
          <w:rFonts w:ascii="Times New Roman" w:eastAsia="Times New Roman" w:hAnsi="Times New Roman" w:cs="Times New Roman"/>
          <w:kern w:val="0"/>
          <w:lang w:eastAsia="fr-FR"/>
          <w14:ligatures w14:val="none"/>
        </w:rPr>
        <w:t>.</w:t>
      </w:r>
      <w:r w:rsidR="00AA407D" w:rsidRPr="00472481">
        <w:rPr>
          <w:rStyle w:val="Appelnotedebasdep"/>
          <w:rFonts w:ascii="Times New Roman" w:eastAsia="Times New Roman" w:hAnsi="Times New Roman" w:cs="Times New Roman"/>
          <w:kern w:val="0"/>
          <w:lang w:eastAsia="fr-FR"/>
          <w14:ligatures w14:val="none"/>
        </w:rPr>
        <w:footnoteReference w:id="7"/>
      </w:r>
      <w:r w:rsidR="00A8438C" w:rsidRPr="00472481">
        <w:rPr>
          <w:rFonts w:ascii="Times New Roman" w:eastAsia="Times New Roman" w:hAnsi="Times New Roman" w:cs="Times New Roman"/>
          <w:kern w:val="0"/>
          <w:lang w:eastAsia="fr-FR"/>
          <w14:ligatures w14:val="none"/>
        </w:rPr>
        <w:t xml:space="preserve"> L'égalité des droits politiques est alors acquise, mais elle reste largement formelle. Prenons un exemple concret : En 1993, quatre </w:t>
      </w:r>
      <w:r w:rsidR="00A8438C" w:rsidRPr="00472481">
        <w:rPr>
          <w:rFonts w:ascii="Times New Roman" w:eastAsia="Times New Roman" w:hAnsi="Times New Roman" w:cs="Times New Roman"/>
          <w:kern w:val="0"/>
          <w:lang w:eastAsia="fr-FR"/>
          <w14:ligatures w14:val="none"/>
        </w:rPr>
        <w:lastRenderedPageBreak/>
        <w:t>décennies après le préambule de 1946, seulement 6,1 % des députés sont des femmes. Le droit ouvre l'accès, mais la pratique le ferme : le champ politique reste « un solide bastion de l'entre-soi bourgeois masculin »</w:t>
      </w:r>
      <w:r w:rsidR="00A8438C" w:rsidRPr="00472481">
        <w:rPr>
          <w:rStyle w:val="Appelnotedebasdep"/>
          <w:rFonts w:ascii="Times New Roman" w:eastAsia="Times New Roman" w:hAnsi="Times New Roman" w:cs="Times New Roman"/>
          <w:kern w:val="0"/>
          <w:lang w:eastAsia="fr-FR"/>
          <w14:ligatures w14:val="none"/>
        </w:rPr>
        <w:footnoteReference w:id="8"/>
      </w:r>
      <w:r w:rsidR="00A8438C" w:rsidRPr="00472481">
        <w:rPr>
          <w:rFonts w:ascii="Times New Roman" w:eastAsia="Times New Roman" w:hAnsi="Times New Roman" w:cs="Times New Roman"/>
          <w:kern w:val="0"/>
          <w:lang w:eastAsia="fr-FR"/>
          <w14:ligatures w14:val="none"/>
        </w:rPr>
        <w:t>. Il fallait donc dépasser l'égalité formelle.</w:t>
      </w:r>
    </w:p>
    <w:p w14:paraId="4C4AAF9E" w14:textId="77777777" w:rsidR="00A8438C" w:rsidRPr="00472481" w:rsidRDefault="00A8438C" w:rsidP="00472481">
      <w:pPr>
        <w:spacing w:before="100" w:beforeAutospacing="1" w:after="100" w:afterAutospacing="1" w:line="240" w:lineRule="auto"/>
        <w:jc w:val="both"/>
        <w:outlineLvl w:val="2"/>
        <w:rPr>
          <w:rFonts w:ascii="Times New Roman" w:eastAsia="Times New Roman" w:hAnsi="Times New Roman" w:cs="Times New Roman"/>
          <w:kern w:val="0"/>
          <w:lang w:eastAsia="fr-FR"/>
          <w14:ligatures w14:val="none"/>
        </w:rPr>
      </w:pPr>
    </w:p>
    <w:p w14:paraId="5B6B947D" w14:textId="77777777" w:rsidR="00A8438C" w:rsidRPr="00472481" w:rsidRDefault="00A8438C" w:rsidP="00472481">
      <w:pPr>
        <w:pStyle w:val="Paragraphedeliste"/>
        <w:numPr>
          <w:ilvl w:val="0"/>
          <w:numId w:val="2"/>
        </w:num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fr-FR"/>
          <w14:ligatures w14:val="none"/>
        </w:rPr>
      </w:pPr>
      <w:r w:rsidRPr="00472481">
        <w:rPr>
          <w:rFonts w:ascii="Times New Roman" w:eastAsia="Times New Roman" w:hAnsi="Times New Roman" w:cs="Times New Roman"/>
          <w:b/>
          <w:bCs/>
          <w:kern w:val="0"/>
          <w:sz w:val="28"/>
          <w:szCs w:val="28"/>
          <w:lang w:eastAsia="fr-FR"/>
          <w14:ligatures w14:val="none"/>
        </w:rPr>
        <w:t>De l'égalité formelle à la parité : une revendication politique devenue norme constitutionnelle</w:t>
      </w:r>
    </w:p>
    <w:p w14:paraId="49AE7D87" w14:textId="77777777" w:rsidR="00BF3978" w:rsidRPr="00472481" w:rsidRDefault="009A1317" w:rsidP="00472481">
      <w:pPr>
        <w:spacing w:before="100" w:beforeAutospacing="1" w:after="100" w:afterAutospacing="1" w:line="240" w:lineRule="auto"/>
        <w:jc w:val="both"/>
        <w:outlineLvl w:val="2"/>
        <w:rPr>
          <w:rFonts w:ascii="Times New Roman" w:eastAsia="Times New Roman" w:hAnsi="Times New Roman" w:cs="Times New Roman"/>
          <w:kern w:val="0"/>
          <w:lang w:eastAsia="fr-FR"/>
          <w14:ligatures w14:val="none"/>
        </w:rPr>
      </w:pPr>
      <w:r w:rsidRPr="00472481">
        <w:rPr>
          <w:rFonts w:ascii="Times New Roman" w:eastAsia="Times New Roman" w:hAnsi="Times New Roman" w:cs="Times New Roman"/>
          <w:kern w:val="0"/>
          <w:lang w:eastAsia="fr-FR"/>
          <w14:ligatures w14:val="none"/>
        </w:rPr>
        <w:t>La concrétisation d’une démocratie féminisée a été pendant longtemps mis à mal par le droit. Cet obstacle juridique est justifié par le principe d’égalité lui-même. En 1982, le Conseil constitutionnel censure une loi imposant au plus 75 % de candidats du même sexe sur les listes municipales</w:t>
      </w:r>
      <w:r w:rsidRPr="00472481">
        <w:rPr>
          <w:rStyle w:val="Appelnotedebasdep"/>
          <w:rFonts w:ascii="Times New Roman" w:eastAsia="Times New Roman" w:hAnsi="Times New Roman" w:cs="Times New Roman"/>
          <w:kern w:val="0"/>
          <w:lang w:eastAsia="fr-FR"/>
          <w14:ligatures w14:val="none"/>
        </w:rPr>
        <w:footnoteReference w:id="9"/>
      </w:r>
      <w:r w:rsidRPr="00472481">
        <w:rPr>
          <w:rFonts w:ascii="Times New Roman" w:eastAsia="Times New Roman" w:hAnsi="Times New Roman" w:cs="Times New Roman"/>
          <w:kern w:val="0"/>
          <w:lang w:eastAsia="fr-FR"/>
          <w14:ligatures w14:val="none"/>
        </w:rPr>
        <w:t xml:space="preserve">. </w:t>
      </w:r>
      <w:r w:rsidR="00BF3978" w:rsidRPr="00472481">
        <w:rPr>
          <w:rFonts w:ascii="Times New Roman" w:eastAsia="Times New Roman" w:hAnsi="Times New Roman" w:cs="Times New Roman"/>
          <w:kern w:val="0"/>
          <w:lang w:eastAsia="fr-FR"/>
          <w14:ligatures w14:val="none"/>
        </w:rPr>
        <w:t>Le Conseil Constitutionnel estime que le législateur ne pouvait pas imposer une répartition des candidatures entre les femmes et les hommes sur le fondement de leur sexe, car une telle distinction était considérée comme contraire aux principes constitutionnels gouvernant l’égalité du suffrage et l’accès à l’éligibilité, au sens des articles 3 de la Constitution et 6 de la Déclaration des droits de l’homme et du citoyen de 1789. La décision repose sur une conception dite universaliste de l’égalité : les citoyens doivent accéder aux droits politiques dans les mêmes conditions, sans distinction fondée sur leur sexe. Le Conseil constitutionnel ne raisonne donc pas à partir du constat d’une sous-représentation historique des femmes. Il considère que la Constitution interdit de différencier les candidatures selon le sexe, même lorsque cette différenciation poursuit l’objectif de corriger une inégalité de représentation. C’est ici que réside la principale limite de cette décision : l’égalité juridique formelle entre les candidats peut empêcher l’adoption de mesures correctrices destinées à favoriser l’égalité réelle entre les femmes et les hommes. Cette jurisprudence est confirmée en 1999 à propos des conseils régionaux</w:t>
      </w:r>
      <w:r w:rsidR="00BF3978" w:rsidRPr="00472481">
        <w:rPr>
          <w:rStyle w:val="Appelnotedebasdep"/>
          <w:rFonts w:ascii="Times New Roman" w:eastAsia="Times New Roman" w:hAnsi="Times New Roman" w:cs="Times New Roman"/>
          <w:kern w:val="0"/>
          <w:lang w:eastAsia="fr-FR"/>
          <w14:ligatures w14:val="none"/>
        </w:rPr>
        <w:footnoteReference w:id="10"/>
      </w:r>
      <w:r w:rsidR="00BF3978" w:rsidRPr="00472481">
        <w:rPr>
          <w:rFonts w:ascii="Times New Roman" w:eastAsia="Times New Roman" w:hAnsi="Times New Roman" w:cs="Times New Roman"/>
          <w:kern w:val="0"/>
          <w:lang w:eastAsia="fr-FR"/>
          <w14:ligatures w14:val="none"/>
        </w:rPr>
        <w:t>. L'universalisme abstrait, qui avait d'abord exclu les femmes, interdit maintenant de corriger leur sous-représentation.</w:t>
      </w:r>
    </w:p>
    <w:p w14:paraId="72F02F2D" w14:textId="5DEAA531" w:rsidR="00077EFF" w:rsidRPr="00472481" w:rsidRDefault="00BF3978" w:rsidP="00472481">
      <w:pPr>
        <w:spacing w:before="100" w:beforeAutospacing="1" w:after="100" w:afterAutospacing="1" w:line="240" w:lineRule="auto"/>
        <w:jc w:val="both"/>
        <w:outlineLvl w:val="2"/>
        <w:rPr>
          <w:rFonts w:ascii="Times New Roman" w:eastAsia="Times New Roman" w:hAnsi="Times New Roman" w:cs="Times New Roman"/>
          <w:kern w:val="0"/>
          <w:lang w:eastAsia="fr-FR"/>
          <w14:ligatures w14:val="none"/>
        </w:rPr>
      </w:pPr>
      <w:r w:rsidRPr="00472481">
        <w:rPr>
          <w:rFonts w:ascii="Times New Roman" w:eastAsia="Times New Roman" w:hAnsi="Times New Roman" w:cs="Times New Roman"/>
          <w:kern w:val="0"/>
          <w:lang w:eastAsia="fr-FR"/>
          <w14:ligatures w14:val="none"/>
        </w:rPr>
        <w:t>Le verrou est levé par le pouvoir constituant, sous la pression d'une forte mobilisation intellectuelle et militante dans les années 1990</w:t>
      </w:r>
      <w:r w:rsidRPr="00472481">
        <w:rPr>
          <w:rStyle w:val="Appelnotedebasdep"/>
          <w:rFonts w:ascii="Times New Roman" w:eastAsia="Times New Roman" w:hAnsi="Times New Roman" w:cs="Times New Roman"/>
          <w:kern w:val="0"/>
          <w:lang w:eastAsia="fr-FR"/>
          <w14:ligatures w14:val="none"/>
        </w:rPr>
        <w:footnoteReference w:id="11"/>
      </w:r>
      <w:r w:rsidRPr="00472481">
        <w:rPr>
          <w:rFonts w:ascii="Times New Roman" w:eastAsia="Times New Roman" w:hAnsi="Times New Roman" w:cs="Times New Roman"/>
          <w:kern w:val="0"/>
          <w:lang w:eastAsia="fr-FR"/>
          <w14:ligatures w14:val="none"/>
        </w:rPr>
        <w:t>. À la suite de cette glorieuse révolte intellectuelle et populaire, la loi constitutionnelle du 8 juillet 1999 ajoute à l'article 3 que la loi « favorise l'égal accès des femmes et des hommes aux mandats électoraux et fonctions électives ». L'article 4 charge les partis de contribuer à ce principe</w:t>
      </w:r>
      <w:r w:rsidRPr="00472481">
        <w:rPr>
          <w:rStyle w:val="Appelnotedebasdep"/>
          <w:rFonts w:ascii="Times New Roman" w:eastAsia="Times New Roman" w:hAnsi="Times New Roman" w:cs="Times New Roman"/>
          <w:kern w:val="0"/>
          <w:lang w:eastAsia="fr-FR"/>
          <w14:ligatures w14:val="none"/>
        </w:rPr>
        <w:footnoteReference w:id="12"/>
      </w:r>
      <w:r w:rsidRPr="00472481">
        <w:rPr>
          <w:rFonts w:ascii="Times New Roman" w:eastAsia="Times New Roman" w:hAnsi="Times New Roman" w:cs="Times New Roman"/>
          <w:kern w:val="0"/>
          <w:lang w:eastAsia="fr-FR"/>
          <w14:ligatures w14:val="none"/>
        </w:rPr>
        <w:t>.</w:t>
      </w:r>
      <w:r w:rsidR="00077EFF" w:rsidRPr="00472481">
        <w:rPr>
          <w:rFonts w:ascii="Times New Roman" w:eastAsia="Times New Roman" w:hAnsi="Times New Roman" w:cs="Times New Roman"/>
          <w:kern w:val="0"/>
          <w:lang w:eastAsia="fr-FR"/>
          <w14:ligatures w14:val="none"/>
        </w:rPr>
        <w:t xml:space="preserve"> Le combat politique devient ainsi une norme juridique, comme dans toutes les histoires des idées depuis la nuit des temps.</w:t>
      </w:r>
    </w:p>
    <w:p w14:paraId="27F883AB" w14:textId="5A9A1F2C" w:rsidR="00077EFF" w:rsidRPr="00472481" w:rsidRDefault="00077EFF" w:rsidP="00472481">
      <w:pPr>
        <w:spacing w:before="100" w:beforeAutospacing="1" w:after="100" w:afterAutospacing="1" w:line="240" w:lineRule="auto"/>
        <w:jc w:val="both"/>
        <w:outlineLvl w:val="2"/>
        <w:rPr>
          <w:rFonts w:ascii="Times New Roman" w:eastAsia="Times New Roman" w:hAnsi="Times New Roman" w:cs="Times New Roman"/>
          <w:kern w:val="0"/>
          <w:lang w:eastAsia="fr-FR"/>
          <w14:ligatures w14:val="none"/>
        </w:rPr>
      </w:pPr>
      <w:r w:rsidRPr="00472481">
        <w:rPr>
          <w:rFonts w:ascii="Times New Roman" w:eastAsia="Times New Roman" w:hAnsi="Times New Roman" w:cs="Times New Roman"/>
          <w:kern w:val="0"/>
          <w:lang w:eastAsia="fr-FR"/>
          <w14:ligatures w14:val="none"/>
        </w:rPr>
        <w:lastRenderedPageBreak/>
        <w:t>Le Conseil constitutionnel en tire les conséquences. Il admet en 2000 que le législateur peut désormais adopter des règles contraignantes comme incitatives</w:t>
      </w:r>
      <w:r w:rsidRPr="00472481">
        <w:rPr>
          <w:rStyle w:val="Appelnotedebasdep"/>
          <w:rFonts w:ascii="Times New Roman" w:eastAsia="Times New Roman" w:hAnsi="Times New Roman" w:cs="Times New Roman"/>
          <w:kern w:val="0"/>
          <w:lang w:eastAsia="fr-FR"/>
          <w14:ligatures w14:val="none"/>
        </w:rPr>
        <w:footnoteReference w:id="13"/>
      </w:r>
      <w:r w:rsidRPr="00472481">
        <w:rPr>
          <w:rFonts w:ascii="Times New Roman" w:eastAsia="Times New Roman" w:hAnsi="Times New Roman" w:cs="Times New Roman"/>
          <w:kern w:val="0"/>
          <w:lang w:eastAsia="fr-FR"/>
          <w14:ligatures w14:val="none"/>
        </w:rPr>
        <w:t>. En revanche, il censure encore en 2006 des quotas dans les conseils d'administration des entreprises, faute de fondement constitutionnel hors du champ politique</w:t>
      </w:r>
      <w:r w:rsidRPr="00472481">
        <w:rPr>
          <w:rStyle w:val="Appelnotedebasdep"/>
          <w:rFonts w:ascii="Times New Roman" w:eastAsia="Times New Roman" w:hAnsi="Times New Roman" w:cs="Times New Roman"/>
          <w:kern w:val="0"/>
          <w:lang w:eastAsia="fr-FR"/>
          <w14:ligatures w14:val="none"/>
        </w:rPr>
        <w:footnoteReference w:id="14"/>
      </w:r>
      <w:r w:rsidRPr="00472481">
        <w:rPr>
          <w:rFonts w:ascii="Times New Roman" w:eastAsia="Times New Roman" w:hAnsi="Times New Roman" w:cs="Times New Roman"/>
          <w:kern w:val="0"/>
          <w:lang w:eastAsia="fr-FR"/>
          <w14:ligatures w14:val="none"/>
        </w:rPr>
        <w:t>. La féminisation de la démocratie reste encore inachevée. La révision Constitutionnelle du 23 juillet 2008 répond à cette décision : la parité passe à l'article 1er et s'étend aux « responsabilités professionnelles et sociales »</w:t>
      </w:r>
      <w:r w:rsidR="00655D6A" w:rsidRPr="00472481">
        <w:rPr>
          <w:rStyle w:val="Appelnotedebasdep"/>
          <w:rFonts w:ascii="Times New Roman" w:eastAsia="Times New Roman" w:hAnsi="Times New Roman" w:cs="Times New Roman"/>
          <w:kern w:val="0"/>
          <w:lang w:eastAsia="fr-FR"/>
          <w14:ligatures w14:val="none"/>
        </w:rPr>
        <w:footnoteReference w:id="15"/>
      </w:r>
      <w:r w:rsidR="00655D6A" w:rsidRPr="00472481">
        <w:rPr>
          <w:rFonts w:ascii="Times New Roman" w:eastAsia="Times New Roman" w:hAnsi="Times New Roman" w:cs="Times New Roman"/>
          <w:kern w:val="0"/>
          <w:lang w:eastAsia="fr-FR"/>
          <w14:ligatures w14:val="none"/>
        </w:rPr>
        <w:t xml:space="preserve">. </w:t>
      </w:r>
    </w:p>
    <w:p w14:paraId="10E47D43" w14:textId="77777777" w:rsidR="00655D6A" w:rsidRPr="00472481" w:rsidRDefault="00655D6A" w:rsidP="00472481">
      <w:pPr>
        <w:spacing w:before="100" w:beforeAutospacing="1" w:after="100" w:afterAutospacing="1" w:line="240" w:lineRule="auto"/>
        <w:jc w:val="both"/>
        <w:outlineLvl w:val="2"/>
        <w:rPr>
          <w:rFonts w:ascii="Times New Roman" w:eastAsia="Times New Roman" w:hAnsi="Times New Roman" w:cs="Times New Roman"/>
          <w:kern w:val="0"/>
          <w:lang w:eastAsia="fr-FR"/>
          <w14:ligatures w14:val="none"/>
        </w:rPr>
      </w:pPr>
      <w:r w:rsidRPr="00472481">
        <w:rPr>
          <w:rFonts w:ascii="Times New Roman" w:eastAsia="Times New Roman" w:hAnsi="Times New Roman" w:cs="Times New Roman"/>
          <w:kern w:val="0"/>
          <w:lang w:eastAsia="fr-FR"/>
          <w14:ligatures w14:val="none"/>
        </w:rPr>
        <w:t>La portée de cette évolution est double. D'une part, l'égalité change de sens : elle ne se limite plus à l'identité formelle des droits, mais tend vers la recherche d'une égalité réelle entre les femmes et les hommes. D'autre part, le constituant se borne à habiliter le législateur à agir, en disposant que « la loi favorise » l'égal accès. La parité n'est donc pas un résultat constitutionnellement garanti, mais un objectif dont l'effectivité dépend des mécanismes juridiques retenus.</w:t>
      </w:r>
    </w:p>
    <w:p w14:paraId="7D7439F3" w14:textId="77777777" w:rsidR="00655D6A" w:rsidRPr="00472481" w:rsidRDefault="00655D6A" w:rsidP="00472481">
      <w:pPr>
        <w:spacing w:before="100" w:beforeAutospacing="1" w:after="100" w:afterAutospacing="1" w:line="240" w:lineRule="auto"/>
        <w:jc w:val="both"/>
        <w:outlineLvl w:val="2"/>
        <w:rPr>
          <w:rFonts w:ascii="Times New Roman" w:eastAsia="Times New Roman" w:hAnsi="Times New Roman" w:cs="Times New Roman"/>
          <w:kern w:val="0"/>
          <w:lang w:eastAsia="fr-FR"/>
          <w14:ligatures w14:val="none"/>
        </w:rPr>
      </w:pPr>
    </w:p>
    <w:p w14:paraId="2E0F2B9C" w14:textId="77777777" w:rsidR="00655D6A" w:rsidRPr="00472481" w:rsidRDefault="00655D6A" w:rsidP="00472481">
      <w:pPr>
        <w:pStyle w:val="Paragraphedeliste"/>
        <w:numPr>
          <w:ilvl w:val="0"/>
          <w:numId w:val="1"/>
        </w:numPr>
        <w:spacing w:before="100" w:beforeAutospacing="1" w:after="100" w:afterAutospacing="1" w:line="240" w:lineRule="auto"/>
        <w:jc w:val="both"/>
        <w:rPr>
          <w:rFonts w:ascii="Times New Roman" w:eastAsia="Times New Roman" w:hAnsi="Times New Roman" w:cs="Times New Roman"/>
          <w:kern w:val="0"/>
          <w:sz w:val="28"/>
          <w:szCs w:val="28"/>
          <w:lang w:eastAsia="fr-FR"/>
          <w14:ligatures w14:val="none"/>
        </w:rPr>
      </w:pPr>
      <w:r w:rsidRPr="00472481">
        <w:rPr>
          <w:rFonts w:ascii="Times New Roman" w:eastAsia="Times New Roman" w:hAnsi="Times New Roman" w:cs="Times New Roman"/>
          <w:b/>
          <w:bCs/>
          <w:kern w:val="0"/>
          <w:sz w:val="28"/>
          <w:szCs w:val="28"/>
          <w:lang w:eastAsia="fr-FR"/>
          <w14:ligatures w14:val="none"/>
        </w:rPr>
        <w:t>Une féminisation juridiquement construite mais inachevée</w:t>
      </w:r>
    </w:p>
    <w:p w14:paraId="56F98B8B" w14:textId="21DB33C8" w:rsidR="00655D6A" w:rsidRPr="00472481" w:rsidRDefault="009A6348" w:rsidP="00472481">
      <w:pPr>
        <w:spacing w:before="100" w:beforeAutospacing="1" w:after="100" w:afterAutospacing="1" w:line="240" w:lineRule="auto"/>
        <w:jc w:val="both"/>
        <w:outlineLvl w:val="2"/>
        <w:rPr>
          <w:rFonts w:ascii="Times New Roman" w:eastAsia="Times New Roman" w:hAnsi="Times New Roman" w:cs="Times New Roman"/>
          <w:kern w:val="0"/>
          <w:lang w:eastAsia="fr-FR"/>
          <w14:ligatures w14:val="none"/>
        </w:rPr>
      </w:pPr>
      <w:r w:rsidRPr="00472481">
        <w:rPr>
          <w:rFonts w:ascii="Times New Roman" w:eastAsia="Times New Roman" w:hAnsi="Times New Roman" w:cs="Times New Roman"/>
          <w:kern w:val="0"/>
          <w:lang w:eastAsia="fr-FR"/>
          <w14:ligatures w14:val="none"/>
        </w:rPr>
        <w:t>La féminisation de la démocratie progresse lorsque le droit impose des mécanismes contraignants de parité (A), mais demeure inachevée dès lors que persistent des inégalités dans la répartition effective du pouvoir politique (B).</w:t>
      </w:r>
    </w:p>
    <w:p w14:paraId="37D26E25" w14:textId="77777777" w:rsidR="009A6348" w:rsidRPr="00472481" w:rsidRDefault="009A6348" w:rsidP="00472481">
      <w:pPr>
        <w:spacing w:before="100" w:beforeAutospacing="1" w:after="100" w:afterAutospacing="1" w:line="240" w:lineRule="auto"/>
        <w:jc w:val="both"/>
        <w:outlineLvl w:val="2"/>
        <w:rPr>
          <w:rFonts w:ascii="Times New Roman" w:eastAsia="Times New Roman" w:hAnsi="Times New Roman" w:cs="Times New Roman"/>
          <w:kern w:val="0"/>
          <w:lang w:eastAsia="fr-FR"/>
          <w14:ligatures w14:val="none"/>
        </w:rPr>
      </w:pPr>
    </w:p>
    <w:p w14:paraId="73881C5B" w14:textId="77777777" w:rsidR="009A6348" w:rsidRPr="00472481" w:rsidRDefault="009A6348" w:rsidP="00472481">
      <w:pPr>
        <w:pStyle w:val="Paragraphedeliste"/>
        <w:numPr>
          <w:ilvl w:val="0"/>
          <w:numId w:val="3"/>
        </w:numPr>
        <w:spacing w:before="100" w:beforeAutospacing="1" w:after="100" w:afterAutospacing="1" w:line="240" w:lineRule="auto"/>
        <w:jc w:val="both"/>
        <w:rPr>
          <w:rFonts w:ascii="Times New Roman" w:eastAsia="Times New Roman" w:hAnsi="Times New Roman" w:cs="Times New Roman"/>
          <w:kern w:val="0"/>
          <w:sz w:val="28"/>
          <w:szCs w:val="28"/>
          <w:lang w:eastAsia="fr-FR"/>
          <w14:ligatures w14:val="none"/>
        </w:rPr>
      </w:pPr>
      <w:r w:rsidRPr="00472481">
        <w:rPr>
          <w:rFonts w:ascii="Times New Roman" w:eastAsia="Times New Roman" w:hAnsi="Times New Roman" w:cs="Times New Roman"/>
          <w:b/>
          <w:bCs/>
          <w:kern w:val="0"/>
          <w:sz w:val="28"/>
          <w:szCs w:val="28"/>
          <w:lang w:eastAsia="fr-FR"/>
          <w14:ligatures w14:val="none"/>
        </w:rPr>
        <w:t>Une efficacité proportionnée à la contrainte juridique</w:t>
      </w:r>
    </w:p>
    <w:p w14:paraId="08D8A8EF" w14:textId="67347309" w:rsidR="009A6348" w:rsidRPr="00472481" w:rsidRDefault="009A6348" w:rsidP="00472481">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72481">
        <w:rPr>
          <w:rFonts w:ascii="Times New Roman" w:eastAsia="Times New Roman" w:hAnsi="Times New Roman" w:cs="Times New Roman"/>
          <w:kern w:val="0"/>
          <w:lang w:eastAsia="fr-FR"/>
          <w14:ligatures w14:val="none"/>
        </w:rPr>
        <w:t>La loi du 6 juin 2000 a retenu des mécanismes différenciés selon le mode de scrutin.</w:t>
      </w:r>
      <w:r w:rsidRPr="00472481">
        <w:rPr>
          <w:rStyle w:val="Appelnotedebasdep"/>
          <w:rFonts w:ascii="Times New Roman" w:eastAsia="Times New Roman" w:hAnsi="Times New Roman" w:cs="Times New Roman"/>
          <w:kern w:val="0"/>
          <w:lang w:eastAsia="fr-FR"/>
          <w14:ligatures w14:val="none"/>
        </w:rPr>
        <w:footnoteReference w:id="16"/>
      </w:r>
      <w:r w:rsidRPr="00472481">
        <w:rPr>
          <w:rFonts w:ascii="Times New Roman" w:eastAsia="Times New Roman" w:hAnsi="Times New Roman" w:cs="Times New Roman"/>
          <w:kern w:val="0"/>
          <w:lang w:eastAsia="fr-FR"/>
          <w14:ligatures w14:val="none"/>
        </w:rPr>
        <w:t xml:space="preserve"> Pour les scrutins de liste, elle impose progressivement des exigences de parité, renforcées par la loi du 31 janvier 2007</w:t>
      </w:r>
      <w:r w:rsidR="00BD48A7" w:rsidRPr="00472481">
        <w:rPr>
          <w:rStyle w:val="Appelnotedebasdep"/>
          <w:rFonts w:ascii="Times New Roman" w:eastAsia="Times New Roman" w:hAnsi="Times New Roman" w:cs="Times New Roman"/>
          <w:kern w:val="0"/>
          <w:lang w:eastAsia="fr-FR"/>
          <w14:ligatures w14:val="none"/>
        </w:rPr>
        <w:footnoteReference w:id="17"/>
      </w:r>
      <w:r w:rsidR="00BD48A7" w:rsidRPr="00472481">
        <w:rPr>
          <w:rFonts w:ascii="Times New Roman" w:eastAsia="Times New Roman" w:hAnsi="Times New Roman" w:cs="Times New Roman"/>
          <w:kern w:val="0"/>
          <w:lang w:eastAsia="fr-FR"/>
          <w14:ligatures w14:val="none"/>
        </w:rPr>
        <w:t xml:space="preserve">, </w:t>
      </w:r>
      <w:r w:rsidRPr="00472481">
        <w:rPr>
          <w:rFonts w:ascii="Times New Roman" w:eastAsia="Times New Roman" w:hAnsi="Times New Roman" w:cs="Times New Roman"/>
          <w:kern w:val="0"/>
          <w:lang w:eastAsia="fr-FR"/>
          <w14:ligatures w14:val="none"/>
        </w:rPr>
        <w:t>qui instaure l'alternance stricte des femmes et des hommes. À l'inverse, pour les élections législatives au scrutin uninominal, le législateur privilégie un mécanisme incitatif, fondé sur la réduction de l'aide publique accordée aux partis politiques qui ne respectent pas suffisamment la parité des candidatures.</w:t>
      </w:r>
    </w:p>
    <w:p w14:paraId="7B3EF36C" w14:textId="6172FDBF" w:rsidR="00BD48A7" w:rsidRPr="00472481" w:rsidRDefault="009A6348" w:rsidP="00472481">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72481">
        <w:rPr>
          <w:rFonts w:ascii="Times New Roman" w:eastAsia="Times New Roman" w:hAnsi="Times New Roman" w:cs="Times New Roman"/>
          <w:kern w:val="0"/>
          <w:lang w:eastAsia="fr-FR"/>
          <w14:ligatures w14:val="none"/>
        </w:rPr>
        <w:t>Le constat est révélateur : plus la contrainte juridique est forte, plus la représentation des femmes progresse. L’efficacité électorales illustrent ainsi l'efficacité des dispositifs qui</w:t>
      </w:r>
      <w:r w:rsidR="00BD48A7" w:rsidRPr="00472481">
        <w:rPr>
          <w:rFonts w:ascii="Times New Roman" w:eastAsia="Times New Roman" w:hAnsi="Times New Roman" w:cs="Times New Roman"/>
          <w:kern w:val="0"/>
          <w:lang w:eastAsia="fr-FR"/>
          <w14:ligatures w14:val="none"/>
        </w:rPr>
        <w:t xml:space="preserve"> </w:t>
      </w:r>
      <w:r w:rsidRPr="00472481">
        <w:rPr>
          <w:rFonts w:ascii="Times New Roman" w:eastAsia="Times New Roman" w:hAnsi="Times New Roman" w:cs="Times New Roman"/>
          <w:kern w:val="0"/>
          <w:lang w:eastAsia="fr-FR"/>
          <w14:ligatures w14:val="none"/>
        </w:rPr>
        <w:t xml:space="preserve">encadrent directement la composition des assemblées. Les conseils régionaux et </w:t>
      </w:r>
      <w:r w:rsidRPr="00472481">
        <w:rPr>
          <w:rFonts w:ascii="Times New Roman" w:eastAsia="Times New Roman" w:hAnsi="Times New Roman" w:cs="Times New Roman"/>
          <w:kern w:val="0"/>
          <w:lang w:eastAsia="fr-FR"/>
          <w14:ligatures w14:val="none"/>
        </w:rPr>
        <w:lastRenderedPageBreak/>
        <w:t>départementaux atteignent une représentation proche de la parité, tandis que l'Assemblée nationale demeure marquée par une sous-représentation féminine persistante. Le contraste est particulièrement net dans les conseils départementaux : alors que les femmes ne représentaient que 13,8 % des conseillers généraux en 2014, l'instauration du binôme paritaire a permis d'atteindre une représentation équilibrée dès les élections de 2015</w:t>
      </w:r>
      <w:r w:rsidR="00BD48A7" w:rsidRPr="00472481">
        <w:rPr>
          <w:rFonts w:ascii="Times New Roman" w:eastAsia="Times New Roman" w:hAnsi="Times New Roman" w:cs="Times New Roman"/>
          <w:kern w:val="0"/>
          <w:lang w:eastAsia="fr-FR"/>
          <w14:ligatures w14:val="none"/>
        </w:rPr>
        <w:t>. Cependant, précisons que les mécanismes purement incitatifs révèlent leurs limites. Les partis politiques peuvent préférer supporter une sanction financière plutôt que de modifier leurs stratégies d'investiture. En outre, l'égalité du nombre de candidatures ne garantit pas l'égalité des chances d'élection : les femmes peuvent être investies dans des circonscriptions moins favorables, ce qui réduit la portée effective de la règle. Le droit impose alors davantage une obligation de présentation des candidatures qu'une véritable égalité dans l'accès aux mandats.</w:t>
      </w:r>
      <w:r w:rsidR="00BD48A7" w:rsidRPr="00472481">
        <w:rPr>
          <w:rStyle w:val="Appelnotedebasdep"/>
          <w:rFonts w:ascii="Times New Roman" w:eastAsia="Times New Roman" w:hAnsi="Times New Roman" w:cs="Times New Roman"/>
          <w:kern w:val="0"/>
          <w:lang w:eastAsia="fr-FR"/>
          <w14:ligatures w14:val="none"/>
        </w:rPr>
        <w:footnoteReference w:id="18"/>
      </w:r>
    </w:p>
    <w:p w14:paraId="44B4A926" w14:textId="56CA4436" w:rsidR="00BD48A7" w:rsidRPr="00472481" w:rsidRDefault="00BD48A7" w:rsidP="00472481">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72481">
        <w:rPr>
          <w:rFonts w:ascii="Times New Roman" w:eastAsia="Times New Roman" w:hAnsi="Times New Roman" w:cs="Times New Roman"/>
          <w:kern w:val="0"/>
          <w:lang w:eastAsia="fr-FR"/>
          <w14:ligatures w14:val="none"/>
        </w:rPr>
        <w:t>Le législateur poursuit néanmoins l'extension de ces mécanismes contraignants. La loi du 21 mai 2025 a ainsi généralisé le scrutin de liste paritaire aux élections municipales dans les communes de moins de 1 000 habitants, à compter du renouvellement général de 2026</w:t>
      </w:r>
      <w:r w:rsidR="005250ED" w:rsidRPr="00472481">
        <w:rPr>
          <w:rStyle w:val="Appelnotedebasdep"/>
          <w:rFonts w:ascii="Times New Roman" w:eastAsia="Times New Roman" w:hAnsi="Times New Roman" w:cs="Times New Roman"/>
          <w:kern w:val="0"/>
          <w:lang w:eastAsia="fr-FR"/>
          <w14:ligatures w14:val="none"/>
        </w:rPr>
        <w:footnoteReference w:id="19"/>
      </w:r>
      <w:r w:rsidRPr="00472481">
        <w:rPr>
          <w:rFonts w:ascii="Times New Roman" w:eastAsia="Times New Roman" w:hAnsi="Times New Roman" w:cs="Times New Roman"/>
          <w:kern w:val="0"/>
          <w:lang w:eastAsia="fr-FR"/>
          <w14:ligatures w14:val="none"/>
        </w:rPr>
        <w:t>. Cette évolution confirme que la féminisation de la représentation politique progresse principalement lorsque le droit ne se contente plus d'inciter, mais impose des obligations précises.</w:t>
      </w:r>
    </w:p>
    <w:p w14:paraId="55F5740E" w14:textId="64C1E0CC" w:rsidR="005250ED" w:rsidRPr="00472481" w:rsidRDefault="005250ED" w:rsidP="00472481">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72481">
        <w:rPr>
          <w:rFonts w:ascii="Times New Roman" w:eastAsia="Times New Roman" w:hAnsi="Times New Roman" w:cs="Times New Roman"/>
          <w:kern w:val="0"/>
          <w:lang w:eastAsia="fr-FR"/>
          <w14:ligatures w14:val="none"/>
        </w:rPr>
        <w:t xml:space="preserve">Toutefois, l’efficacité des mécanismes juridiques de parité ne saurait masquer la persistance d’inégalités dans l’exercice du pouvoir, révélant ainsi une féminisation encore inachevée de la démocratie. </w:t>
      </w:r>
    </w:p>
    <w:p w14:paraId="4F967FB8" w14:textId="77777777" w:rsidR="005250ED" w:rsidRPr="00472481" w:rsidRDefault="005250ED" w:rsidP="00472481">
      <w:pPr>
        <w:spacing w:before="100" w:beforeAutospacing="1" w:after="100" w:afterAutospacing="1" w:line="240" w:lineRule="auto"/>
        <w:jc w:val="both"/>
        <w:rPr>
          <w:rFonts w:ascii="Times New Roman" w:eastAsia="Times New Roman" w:hAnsi="Times New Roman" w:cs="Times New Roman"/>
          <w:kern w:val="0"/>
          <w:lang w:eastAsia="fr-FR"/>
          <w14:ligatures w14:val="none"/>
        </w:rPr>
      </w:pPr>
    </w:p>
    <w:p w14:paraId="0205E9D2" w14:textId="03DACC47" w:rsidR="00077EFF" w:rsidRPr="00472481" w:rsidRDefault="005250ED" w:rsidP="00472481">
      <w:pPr>
        <w:pStyle w:val="Paragraphedeliste"/>
        <w:numPr>
          <w:ilvl w:val="0"/>
          <w:numId w:val="3"/>
        </w:numPr>
        <w:spacing w:before="100" w:beforeAutospacing="1" w:after="100" w:afterAutospacing="1" w:line="240" w:lineRule="auto"/>
        <w:jc w:val="both"/>
        <w:rPr>
          <w:rFonts w:ascii="Times New Roman" w:eastAsia="Times New Roman" w:hAnsi="Times New Roman" w:cs="Times New Roman"/>
          <w:kern w:val="0"/>
          <w:sz w:val="28"/>
          <w:szCs w:val="28"/>
          <w:lang w:eastAsia="fr-FR"/>
          <w14:ligatures w14:val="none"/>
        </w:rPr>
      </w:pPr>
      <w:r w:rsidRPr="00472481">
        <w:rPr>
          <w:rFonts w:ascii="Times New Roman" w:eastAsia="Times New Roman" w:hAnsi="Times New Roman" w:cs="Times New Roman"/>
          <w:b/>
          <w:bCs/>
          <w:kern w:val="0"/>
          <w:sz w:val="28"/>
          <w:szCs w:val="28"/>
          <w:lang w:eastAsia="fr-FR"/>
          <w14:ligatures w14:val="none"/>
        </w:rPr>
        <w:t>Une féminisation « en trompe-l'œil » : des exclusions que le droit peine à saisir</w:t>
      </w:r>
    </w:p>
    <w:p w14:paraId="1482FB4D" w14:textId="77777777" w:rsidR="00CD3D8A" w:rsidRPr="00472481" w:rsidRDefault="00EB6B7C" w:rsidP="00472481">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72481">
        <w:rPr>
          <w:rFonts w:ascii="Times New Roman" w:eastAsia="Times New Roman" w:hAnsi="Times New Roman" w:cs="Times New Roman"/>
          <w:kern w:val="0"/>
          <w:lang w:eastAsia="fr-FR"/>
          <w14:ligatures w14:val="none"/>
        </w:rPr>
        <w:t>Le droit de la parité agit sur la composition des assemblées, pas sur la répartition du pouvoir à l'intérieur de celles-ci. C'est là que la sociologie politique révèle des exclusions persistantes. Un plafond de verre aux fonctions de direction. En 2014, les femmes représentaient 48 % des conseillers régionaux, mais 7,7 % des présidents de région ; 40,3 % des conseillers municipaux, mais 13,8 % des maires</w:t>
      </w:r>
      <w:r w:rsidRPr="00472481">
        <w:rPr>
          <w:rStyle w:val="Appelnotedebasdep"/>
          <w:rFonts w:ascii="Times New Roman" w:eastAsia="Times New Roman" w:hAnsi="Times New Roman" w:cs="Times New Roman"/>
          <w:kern w:val="0"/>
          <w:lang w:eastAsia="fr-FR"/>
          <w14:ligatures w14:val="none"/>
        </w:rPr>
        <w:footnoteReference w:id="20"/>
      </w:r>
      <w:r w:rsidRPr="00472481">
        <w:rPr>
          <w:rFonts w:ascii="Times New Roman" w:eastAsia="Times New Roman" w:hAnsi="Times New Roman" w:cs="Times New Roman"/>
          <w:kern w:val="0"/>
          <w:lang w:eastAsia="fr-FR"/>
          <w14:ligatures w14:val="none"/>
        </w:rPr>
        <w:t>. L'écart demeure après 2020 (19,8 % de femmes maires)</w:t>
      </w:r>
      <w:r w:rsidRPr="00472481">
        <w:rPr>
          <w:rStyle w:val="Appelnotedebasdep"/>
          <w:rFonts w:ascii="Times New Roman" w:eastAsia="Times New Roman" w:hAnsi="Times New Roman" w:cs="Times New Roman"/>
          <w:kern w:val="0"/>
          <w:lang w:eastAsia="fr-FR"/>
          <w14:ligatures w14:val="none"/>
        </w:rPr>
        <w:footnoteReference w:id="21"/>
      </w:r>
      <w:r w:rsidRPr="00472481">
        <w:rPr>
          <w:rFonts w:ascii="Times New Roman" w:eastAsia="Times New Roman" w:hAnsi="Times New Roman" w:cs="Times New Roman"/>
          <w:kern w:val="0"/>
          <w:lang w:eastAsia="fr-FR"/>
          <w14:ligatures w14:val="none"/>
        </w:rPr>
        <w:t xml:space="preserve"> et après 2026 : en Bourgogne-Franche-Comté, la parité est atteinte dans les conseils, mais 23 % seulement des maires sont des femmes</w:t>
      </w:r>
      <w:r w:rsidRPr="00472481">
        <w:rPr>
          <w:rStyle w:val="Appelnotedebasdep"/>
          <w:rFonts w:ascii="Times New Roman" w:eastAsia="Times New Roman" w:hAnsi="Times New Roman" w:cs="Times New Roman"/>
          <w:kern w:val="0"/>
          <w:lang w:eastAsia="fr-FR"/>
          <w14:ligatures w14:val="none"/>
        </w:rPr>
        <w:footnoteReference w:id="22"/>
      </w:r>
      <w:r w:rsidRPr="00472481">
        <w:rPr>
          <w:rFonts w:ascii="Times New Roman" w:eastAsia="Times New Roman" w:hAnsi="Times New Roman" w:cs="Times New Roman"/>
          <w:kern w:val="0"/>
          <w:lang w:eastAsia="fr-FR"/>
          <w14:ligatures w14:val="none"/>
        </w:rPr>
        <w:t xml:space="preserve">. </w:t>
      </w:r>
      <w:r w:rsidR="00CD3D8A" w:rsidRPr="00472481">
        <w:rPr>
          <w:rFonts w:ascii="Times New Roman" w:eastAsia="Times New Roman" w:hAnsi="Times New Roman" w:cs="Times New Roman"/>
          <w:kern w:val="0"/>
          <w:lang w:eastAsia="fr-FR"/>
          <w14:ligatures w14:val="none"/>
        </w:rPr>
        <w:t xml:space="preserve"> La loi encadre les listes et les adjoints, mais l'élection du maire ou du président reste libre.</w:t>
      </w:r>
    </w:p>
    <w:p w14:paraId="5FC2354D" w14:textId="77777777" w:rsidR="00CD3D8A" w:rsidRPr="00472481" w:rsidRDefault="00CD3D8A" w:rsidP="00472481">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72481">
        <w:rPr>
          <w:rFonts w:ascii="Times New Roman" w:eastAsia="Times New Roman" w:hAnsi="Times New Roman" w:cs="Times New Roman"/>
          <w:kern w:val="0"/>
          <w:lang w:eastAsia="fr-FR"/>
          <w14:ligatures w14:val="none"/>
        </w:rPr>
        <w:lastRenderedPageBreak/>
        <w:t>Une division sexuée du travail politique. Les élues sont surreprésentées dans les délégations sociales et éducatives, sous-représentées aux finances, aux transports ou à la défense</w:t>
      </w:r>
      <w:r w:rsidRPr="00472481">
        <w:rPr>
          <w:rStyle w:val="Appelnotedebasdep"/>
          <w:rFonts w:ascii="Times New Roman" w:eastAsia="Times New Roman" w:hAnsi="Times New Roman" w:cs="Times New Roman"/>
          <w:kern w:val="0"/>
          <w:lang w:eastAsia="fr-FR"/>
          <w14:ligatures w14:val="none"/>
        </w:rPr>
        <w:footnoteReference w:id="23"/>
      </w:r>
      <w:r w:rsidRPr="00472481">
        <w:rPr>
          <w:rFonts w:ascii="Times New Roman" w:eastAsia="Times New Roman" w:hAnsi="Times New Roman" w:cs="Times New Roman"/>
          <w:kern w:val="0"/>
          <w:lang w:eastAsia="fr-FR"/>
          <w14:ligatures w14:val="none"/>
        </w:rPr>
        <w:t>.  Au gouvernement, entre 1986 et 2012, une seule femme a détenu le portefeuille de l'Économie et une seule celui de l'Intérieur ; les femmes sont plus souvent secrétaires d'État (37 % de leurs postes, contre 28 % pour les hommes)</w:t>
      </w:r>
      <w:r w:rsidRPr="00472481">
        <w:rPr>
          <w:rStyle w:val="Appelnotedebasdep"/>
          <w:rFonts w:ascii="Times New Roman" w:eastAsia="Times New Roman" w:hAnsi="Times New Roman" w:cs="Times New Roman"/>
          <w:kern w:val="0"/>
          <w:lang w:eastAsia="fr-FR"/>
          <w14:ligatures w14:val="none"/>
        </w:rPr>
        <w:footnoteReference w:id="24"/>
      </w:r>
      <w:r w:rsidRPr="00472481">
        <w:rPr>
          <w:rFonts w:ascii="Times New Roman" w:eastAsia="Times New Roman" w:hAnsi="Times New Roman" w:cs="Times New Roman"/>
          <w:kern w:val="0"/>
          <w:lang w:eastAsia="fr-FR"/>
          <w14:ligatures w14:val="none"/>
        </w:rPr>
        <w:t>.</w:t>
      </w:r>
    </w:p>
    <w:p w14:paraId="273BC629" w14:textId="5F77AD15" w:rsidR="00CD3D8A" w:rsidRPr="00472481" w:rsidRDefault="00CD3D8A" w:rsidP="00472481">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72481">
        <w:rPr>
          <w:rFonts w:ascii="Times New Roman" w:eastAsia="Times New Roman" w:hAnsi="Times New Roman" w:cs="Times New Roman"/>
          <w:kern w:val="0"/>
          <w:lang w:eastAsia="fr-FR"/>
          <w14:ligatures w14:val="none"/>
        </w:rPr>
        <w:t xml:space="preserve"> Une féminisation sans ouverture sociale</w:t>
      </w:r>
      <w:r w:rsidRPr="00472481">
        <w:rPr>
          <w:rFonts w:ascii="Times New Roman" w:eastAsia="Times New Roman" w:hAnsi="Times New Roman" w:cs="Times New Roman"/>
          <w:b/>
          <w:bCs/>
          <w:kern w:val="0"/>
          <w:lang w:eastAsia="fr-FR"/>
          <w14:ligatures w14:val="none"/>
        </w:rPr>
        <w:t>.</w:t>
      </w:r>
      <w:r w:rsidRPr="00472481">
        <w:rPr>
          <w:rFonts w:ascii="Times New Roman" w:eastAsia="Times New Roman" w:hAnsi="Times New Roman" w:cs="Times New Roman"/>
          <w:kern w:val="0"/>
          <w:lang w:eastAsia="fr-FR"/>
          <w14:ligatures w14:val="none"/>
        </w:rPr>
        <w:t xml:space="preserve"> Behr et Michon montrent que 76 % des femmes ministres viennent des catégories supérieures, contre 81 % des hommes. Moins dotées en mandats, elles compensent par un capital social : elles sont souvent « filles de », « femmes de » ou « protégées de »</w:t>
      </w:r>
      <w:r w:rsidRPr="00472481">
        <w:rPr>
          <w:rStyle w:val="Appelnotedebasdep"/>
          <w:rFonts w:ascii="Times New Roman" w:eastAsia="Times New Roman" w:hAnsi="Times New Roman" w:cs="Times New Roman"/>
          <w:kern w:val="0"/>
          <w:lang w:eastAsia="fr-FR"/>
          <w14:ligatures w14:val="none"/>
        </w:rPr>
        <w:footnoteReference w:id="25"/>
      </w:r>
      <w:r w:rsidRPr="00472481">
        <w:rPr>
          <w:rFonts w:ascii="Times New Roman" w:eastAsia="Times New Roman" w:hAnsi="Times New Roman" w:cs="Times New Roman"/>
          <w:kern w:val="0"/>
          <w:lang w:eastAsia="fr-FR"/>
          <w14:ligatures w14:val="none"/>
        </w:rPr>
        <w:t>. La féminisation de la démocratie accompagne donc la reproduction des élites plus qu'elle ne la remet en cause.</w:t>
      </w:r>
    </w:p>
    <w:p w14:paraId="2F629B02" w14:textId="77777777" w:rsidR="00472481" w:rsidRPr="00472481" w:rsidRDefault="00447B55" w:rsidP="00472481">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72481">
        <w:rPr>
          <w:rFonts w:ascii="Times New Roman" w:eastAsia="Times New Roman" w:hAnsi="Times New Roman" w:cs="Times New Roman"/>
          <w:kern w:val="0"/>
          <w:lang w:eastAsia="fr-FR"/>
          <w14:ligatures w14:val="none"/>
        </w:rPr>
        <w:t>Des carrières précaires et des coulisses masculines. Au Conseil de Paris, le taux de renouvellement atteint 59 % chez les élues en 2014, contre 41 % chez les élus. En 2014, seuls 13 % des directeurs de cabinet ministériel sont des femmes, alors que le gouvernement est paritaire</w:t>
      </w:r>
      <w:r w:rsidR="00472481" w:rsidRPr="00472481">
        <w:rPr>
          <w:rStyle w:val="Appelnotedebasdep"/>
          <w:rFonts w:ascii="Times New Roman" w:eastAsia="Times New Roman" w:hAnsi="Times New Roman" w:cs="Times New Roman"/>
          <w:kern w:val="0"/>
          <w:lang w:eastAsia="fr-FR"/>
          <w14:ligatures w14:val="none"/>
        </w:rPr>
        <w:footnoteReference w:id="26"/>
      </w:r>
      <w:r w:rsidR="00472481" w:rsidRPr="00472481">
        <w:rPr>
          <w:rFonts w:ascii="Times New Roman" w:eastAsia="Times New Roman" w:hAnsi="Times New Roman" w:cs="Times New Roman"/>
          <w:kern w:val="0"/>
          <w:lang w:eastAsia="fr-FR"/>
          <w14:ligatures w14:val="none"/>
        </w:rPr>
        <w:t xml:space="preserve">. Enfin, les femmes politiques restent jugées sur leur apparence, leur maternité ou leur entourage familial, comme l'illustrent les attaques sexistes visant Cécile Duflot en 2012 </w:t>
      </w:r>
      <w:r w:rsidR="00472481" w:rsidRPr="00472481">
        <w:rPr>
          <w:rStyle w:val="Appelnotedebasdep"/>
          <w:rFonts w:ascii="Times New Roman" w:eastAsia="Times New Roman" w:hAnsi="Times New Roman" w:cs="Times New Roman"/>
          <w:kern w:val="0"/>
          <w:lang w:eastAsia="fr-FR"/>
          <w14:ligatures w14:val="none"/>
        </w:rPr>
        <w:footnoteReference w:id="27"/>
      </w:r>
      <w:r w:rsidR="00472481" w:rsidRPr="00472481">
        <w:rPr>
          <w:rFonts w:ascii="Times New Roman" w:eastAsia="Times New Roman" w:hAnsi="Times New Roman" w:cs="Times New Roman"/>
          <w:kern w:val="0"/>
          <w:lang w:eastAsia="fr-FR"/>
          <w14:ligatures w14:val="none"/>
        </w:rPr>
        <w:t>.</w:t>
      </w:r>
    </w:p>
    <w:p w14:paraId="42FC2AAC" w14:textId="16920A66" w:rsidR="00472481" w:rsidRPr="00472481" w:rsidRDefault="00472481" w:rsidP="00472481">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72481">
        <w:rPr>
          <w:rFonts w:ascii="Times New Roman" w:eastAsia="Times New Roman" w:hAnsi="Times New Roman" w:cs="Times New Roman"/>
          <w:kern w:val="0"/>
          <w:lang w:eastAsia="fr-FR"/>
          <w14:ligatures w14:val="none"/>
        </w:rPr>
        <w:t xml:space="preserve">La féminisation des assemblées n’a donc pas suffi à féminiser </w:t>
      </w:r>
      <w:r w:rsidR="0097324A">
        <w:rPr>
          <w:rFonts w:ascii="Times New Roman" w:eastAsia="Times New Roman" w:hAnsi="Times New Roman" w:cs="Times New Roman"/>
          <w:kern w:val="0"/>
          <w:lang w:eastAsia="fr-FR"/>
          <w14:ligatures w14:val="none"/>
        </w:rPr>
        <w:t>la démocratie</w:t>
      </w:r>
      <w:r w:rsidRPr="00472481">
        <w:rPr>
          <w:rFonts w:ascii="Times New Roman" w:eastAsia="Times New Roman" w:hAnsi="Times New Roman" w:cs="Times New Roman"/>
          <w:kern w:val="0"/>
          <w:lang w:eastAsia="fr-FR"/>
          <w14:ligatures w14:val="none"/>
        </w:rPr>
        <w:t>: si le droit a progressivement consacré l’égal accès des femmes et des hommes aux responsabilités, notamment à travers l’article 1er de la Constitution du 4 octobre 1958, il n’a pas fait disparaître les mécanismes sociaux et politiques qui en déterminent la répartition. Cette limite invite à interroger les fondements mêmes de la représentation démocratique. En effet, si l’article 3 de la Constitution dispose que la souveraineté nationale appartient au peuple et qu’aucune section du peuple ni aucun individu ne peut s’en attribuer l’exercice, tandis que l’article 6 de la Déclaration des droits de l’homme et du citoyen de 1789 garantit l’égal accès des citoyens aux dignités, places et emplois publics selon leurs capacités, la représentation politique doit-elle demeurer indifférente aux différences qui traversent la société ? Autrement dit, la démocratie doit-elle se satisfaire de représenter un peuple juridiquement indivisible et composé de citoyens abstraitement égaux, ou doit-elle chercher à faire de ses institutions le reflet de la diversité réelle de la société, au risque de remettre en question l’universalisme sur lequel elle s’est historiquement construite ?</w:t>
      </w:r>
    </w:p>
    <w:p w14:paraId="753692A0" w14:textId="1EA1CF24" w:rsidR="00EB6B7C" w:rsidRPr="00EB6B7C" w:rsidRDefault="00EB6B7C" w:rsidP="00EB6B7C">
      <w:pPr>
        <w:spacing w:before="100" w:beforeAutospacing="1" w:after="100" w:afterAutospacing="1" w:line="240" w:lineRule="auto"/>
        <w:rPr>
          <w:rFonts w:eastAsia="Times New Roman"/>
          <w:kern w:val="0"/>
          <w:lang w:eastAsia="fr-FR"/>
          <w14:ligatures w14:val="none"/>
        </w:rPr>
      </w:pPr>
    </w:p>
    <w:p w14:paraId="54809459" w14:textId="49A406BA" w:rsidR="00EB6B7C" w:rsidRPr="00EB6B7C" w:rsidRDefault="00EB6B7C" w:rsidP="00EB6B7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EAA7E80" w14:textId="77777777" w:rsidR="00EB6B7C" w:rsidRPr="00EB6B7C" w:rsidRDefault="00EB6B7C" w:rsidP="00EB6B7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1EB9C10" w14:textId="37E7D6D6" w:rsidR="00077EFF" w:rsidRPr="00077EFF" w:rsidRDefault="00077EFF" w:rsidP="00077EFF">
      <w:pPr>
        <w:spacing w:before="100" w:beforeAutospacing="1" w:after="100" w:afterAutospacing="1" w:line="240" w:lineRule="auto"/>
        <w:jc w:val="both"/>
        <w:outlineLvl w:val="2"/>
        <w:rPr>
          <w:rFonts w:eastAsia="Times New Roman"/>
          <w:kern w:val="0"/>
          <w:lang w:eastAsia="fr-FR"/>
          <w14:ligatures w14:val="none"/>
        </w:rPr>
      </w:pPr>
    </w:p>
    <w:p w14:paraId="639CBB82" w14:textId="0011EF5A" w:rsidR="00BF3978" w:rsidRPr="009A1317" w:rsidRDefault="00BF3978" w:rsidP="009A1317">
      <w:pPr>
        <w:spacing w:before="100" w:beforeAutospacing="1" w:after="100" w:afterAutospacing="1" w:line="240" w:lineRule="auto"/>
        <w:jc w:val="both"/>
        <w:outlineLvl w:val="2"/>
        <w:rPr>
          <w:rFonts w:eastAsia="Times New Roman"/>
          <w:kern w:val="0"/>
          <w:lang w:eastAsia="fr-FR"/>
          <w14:ligatures w14:val="none"/>
        </w:rPr>
      </w:pPr>
    </w:p>
    <w:p w14:paraId="09FCA5C6" w14:textId="1E2C8830" w:rsidR="009A1317" w:rsidRPr="009A1317" w:rsidRDefault="009A1317" w:rsidP="009A1317">
      <w:pPr>
        <w:spacing w:before="100" w:beforeAutospacing="1" w:after="100" w:afterAutospacing="1" w:line="240" w:lineRule="auto"/>
        <w:jc w:val="both"/>
        <w:outlineLvl w:val="2"/>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 </w:t>
      </w:r>
    </w:p>
    <w:p w14:paraId="7E7D84DB" w14:textId="77777777" w:rsidR="00A8438C" w:rsidRPr="00A8438C" w:rsidRDefault="00A8438C" w:rsidP="00A8438C">
      <w:pPr>
        <w:pStyle w:val="Paragraphedeliste"/>
        <w:spacing w:before="100" w:beforeAutospacing="1" w:after="100" w:afterAutospacing="1" w:line="240" w:lineRule="auto"/>
        <w:ind w:left="1080"/>
        <w:jc w:val="both"/>
        <w:outlineLvl w:val="2"/>
        <w:rPr>
          <w:rFonts w:eastAsia="Times New Roman"/>
          <w:kern w:val="0"/>
          <w:lang w:eastAsia="fr-FR"/>
          <w14:ligatures w14:val="none"/>
        </w:rPr>
      </w:pPr>
    </w:p>
    <w:p w14:paraId="71D35007" w14:textId="77777777" w:rsidR="00A8438C" w:rsidRDefault="00A8438C" w:rsidP="00A8438C">
      <w:pPr>
        <w:spacing w:before="100" w:beforeAutospacing="1" w:after="100" w:afterAutospacing="1" w:line="240" w:lineRule="auto"/>
        <w:jc w:val="both"/>
        <w:outlineLvl w:val="2"/>
        <w:rPr>
          <w:rFonts w:eastAsia="Times New Roman"/>
          <w:kern w:val="0"/>
          <w:lang w:eastAsia="fr-FR"/>
          <w14:ligatures w14:val="none"/>
        </w:rPr>
      </w:pPr>
    </w:p>
    <w:p w14:paraId="1461F005" w14:textId="77777777" w:rsidR="00A8438C" w:rsidRPr="00A8438C" w:rsidRDefault="00A8438C" w:rsidP="00A8438C">
      <w:pPr>
        <w:spacing w:before="100" w:beforeAutospacing="1" w:after="100" w:afterAutospacing="1" w:line="240" w:lineRule="auto"/>
        <w:jc w:val="both"/>
        <w:outlineLvl w:val="2"/>
        <w:rPr>
          <w:rFonts w:eastAsia="Times New Roman"/>
          <w:kern w:val="0"/>
          <w:lang w:eastAsia="fr-FR"/>
          <w14:ligatures w14:val="none"/>
        </w:rPr>
      </w:pPr>
    </w:p>
    <w:p w14:paraId="2F607602" w14:textId="4DFFD495" w:rsidR="00A8438C" w:rsidRPr="00A8438C" w:rsidRDefault="00A8438C" w:rsidP="00A8438C">
      <w:pPr>
        <w:spacing w:before="100" w:beforeAutospacing="1" w:after="100" w:afterAutospacing="1" w:line="240" w:lineRule="auto"/>
        <w:jc w:val="both"/>
        <w:outlineLvl w:val="2"/>
        <w:rPr>
          <w:rFonts w:eastAsia="Times New Roman"/>
          <w:kern w:val="0"/>
          <w:lang w:eastAsia="fr-FR"/>
          <w14:ligatures w14:val="none"/>
        </w:rPr>
      </w:pPr>
    </w:p>
    <w:p w14:paraId="458AFAE2" w14:textId="229BF9EE" w:rsidR="00A8438C" w:rsidRPr="00A8438C" w:rsidRDefault="00A8438C" w:rsidP="00A8438C">
      <w:pPr>
        <w:spacing w:before="100" w:beforeAutospacing="1" w:after="100" w:afterAutospacing="1" w:line="240" w:lineRule="auto"/>
        <w:jc w:val="both"/>
        <w:outlineLvl w:val="2"/>
        <w:rPr>
          <w:rFonts w:eastAsia="Times New Roman"/>
          <w:kern w:val="0"/>
          <w:lang w:eastAsia="fr-FR"/>
          <w14:ligatures w14:val="none"/>
        </w:rPr>
      </w:pPr>
    </w:p>
    <w:p w14:paraId="5A36319A" w14:textId="7FC7806C" w:rsidR="00A8438C" w:rsidRPr="00A8438C" w:rsidRDefault="00A8438C" w:rsidP="00A8438C">
      <w:pPr>
        <w:spacing w:before="100" w:beforeAutospacing="1" w:after="100" w:afterAutospacing="1" w:line="240" w:lineRule="auto"/>
        <w:jc w:val="both"/>
        <w:outlineLvl w:val="2"/>
        <w:rPr>
          <w:rFonts w:eastAsia="Times New Roman"/>
          <w:kern w:val="0"/>
          <w:lang w:eastAsia="fr-FR"/>
          <w14:ligatures w14:val="none"/>
        </w:rPr>
      </w:pPr>
    </w:p>
    <w:p w14:paraId="56EF2B56" w14:textId="6C19BE01" w:rsidR="00A8438C" w:rsidRPr="00A8438C" w:rsidRDefault="00A8438C" w:rsidP="00A8438C">
      <w:pPr>
        <w:spacing w:before="100" w:beforeAutospacing="1" w:after="100" w:afterAutospacing="1" w:line="240" w:lineRule="auto"/>
        <w:jc w:val="both"/>
        <w:outlineLvl w:val="2"/>
        <w:rPr>
          <w:rFonts w:eastAsia="Times New Roman"/>
          <w:kern w:val="0"/>
          <w:lang w:eastAsia="fr-FR"/>
          <w14:ligatures w14:val="none"/>
        </w:rPr>
      </w:pPr>
    </w:p>
    <w:p w14:paraId="3DA39EEC" w14:textId="305E775B" w:rsidR="009D5E8B" w:rsidRPr="009D5E8B" w:rsidRDefault="009D5E8B" w:rsidP="009D5E8B">
      <w:pPr>
        <w:spacing w:before="100" w:beforeAutospacing="1" w:after="100" w:afterAutospacing="1" w:line="240" w:lineRule="auto"/>
        <w:jc w:val="both"/>
        <w:outlineLvl w:val="2"/>
        <w:rPr>
          <w:rFonts w:eastAsia="Times New Roman"/>
          <w:kern w:val="0"/>
          <w:lang w:eastAsia="fr-FR"/>
          <w14:ligatures w14:val="none"/>
        </w:rPr>
      </w:pPr>
    </w:p>
    <w:p w14:paraId="36DAD518" w14:textId="77777777" w:rsidR="009D5E8B" w:rsidRPr="00FB0EA7" w:rsidRDefault="009D5E8B" w:rsidP="009D5E8B">
      <w:pPr>
        <w:spacing w:before="100" w:beforeAutospacing="1" w:after="100" w:afterAutospacing="1" w:line="240" w:lineRule="auto"/>
        <w:jc w:val="both"/>
        <w:outlineLvl w:val="2"/>
        <w:rPr>
          <w:rFonts w:eastAsia="Times New Roman"/>
          <w:kern w:val="0"/>
          <w:lang w:eastAsia="fr-FR"/>
          <w14:ligatures w14:val="none"/>
        </w:rPr>
      </w:pPr>
    </w:p>
    <w:p w14:paraId="7C8A8D1E" w14:textId="32909DD9" w:rsidR="00FB0EA7" w:rsidRPr="00FB0EA7" w:rsidRDefault="00FB0EA7" w:rsidP="00FB0EA7">
      <w:pPr>
        <w:spacing w:before="100" w:beforeAutospacing="1" w:after="100" w:afterAutospacing="1" w:line="240" w:lineRule="auto"/>
        <w:outlineLvl w:val="2"/>
        <w:rPr>
          <w:rFonts w:eastAsia="Times New Roman"/>
          <w:kern w:val="0"/>
          <w:lang w:eastAsia="fr-FR"/>
          <w14:ligatures w14:val="none"/>
        </w:rPr>
      </w:pPr>
    </w:p>
    <w:p w14:paraId="7E885A44" w14:textId="6A54C1D7" w:rsidR="00FB0EA7" w:rsidRPr="00FB0EA7" w:rsidRDefault="00FB0EA7" w:rsidP="00FB0EA7">
      <w:pPr>
        <w:spacing w:before="100" w:beforeAutospacing="1" w:after="100" w:afterAutospacing="1" w:line="240" w:lineRule="auto"/>
        <w:outlineLvl w:val="2"/>
        <w:rPr>
          <w:rFonts w:eastAsia="Times New Roman"/>
          <w:kern w:val="0"/>
          <w:lang w:eastAsia="fr-FR"/>
          <w14:ligatures w14:val="none"/>
        </w:rPr>
      </w:pPr>
    </w:p>
    <w:p w14:paraId="06BDEF7C" w14:textId="3EAAED3F" w:rsidR="00972604" w:rsidRPr="00972604" w:rsidRDefault="005D10B8" w:rsidP="00972604">
      <w:pPr>
        <w:spacing w:before="100" w:beforeAutospacing="1" w:after="100" w:afterAutospacing="1" w:line="240" w:lineRule="auto"/>
        <w:outlineLvl w:val="2"/>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 </w:t>
      </w:r>
    </w:p>
    <w:p w14:paraId="3B2892E4" w14:textId="77777777" w:rsidR="00972604" w:rsidRPr="00972604" w:rsidRDefault="00972604" w:rsidP="00972604">
      <w:pPr>
        <w:spacing w:before="100" w:beforeAutospacing="1" w:after="100" w:afterAutospacing="1" w:line="240" w:lineRule="auto"/>
        <w:outlineLvl w:val="1"/>
        <w:rPr>
          <w:rFonts w:ascii="Times New Roman" w:eastAsia="Times New Roman" w:hAnsi="Times New Roman" w:cs="Times New Roman"/>
          <w:kern w:val="0"/>
          <w:lang w:eastAsia="fr-FR"/>
          <w14:ligatures w14:val="none"/>
        </w:rPr>
      </w:pPr>
    </w:p>
    <w:p w14:paraId="4F59B3DC" w14:textId="77777777" w:rsidR="00BE70CC" w:rsidRPr="00BE70CC" w:rsidRDefault="00BE70CC" w:rsidP="00BE70CC">
      <w:pPr>
        <w:pStyle w:val="Paragraphedeliste"/>
        <w:jc w:val="both"/>
        <w:rPr>
          <w:rFonts w:ascii="Times New Roman" w:hAnsi="Times New Roman" w:cs="Times New Roman"/>
        </w:rPr>
      </w:pPr>
    </w:p>
    <w:p w14:paraId="05793D3C" w14:textId="77777777" w:rsidR="00BE70CC" w:rsidRPr="00A36011" w:rsidRDefault="00BE70CC" w:rsidP="00A36011">
      <w:pPr>
        <w:jc w:val="both"/>
        <w:rPr>
          <w:rFonts w:ascii="Times New Roman" w:hAnsi="Times New Roman" w:cs="Times New Roman"/>
        </w:rPr>
      </w:pPr>
    </w:p>
    <w:sectPr w:rsidR="00BE70CC" w:rsidRPr="00A360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D0410" w14:textId="77777777" w:rsidR="0016376E" w:rsidRDefault="0016376E" w:rsidP="00040E82">
      <w:pPr>
        <w:spacing w:after="0" w:line="240" w:lineRule="auto"/>
      </w:pPr>
      <w:r>
        <w:separator/>
      </w:r>
    </w:p>
  </w:endnote>
  <w:endnote w:type="continuationSeparator" w:id="0">
    <w:p w14:paraId="49562BF5" w14:textId="77777777" w:rsidR="0016376E" w:rsidRDefault="0016376E" w:rsidP="00040E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31A6E" w14:textId="77777777" w:rsidR="0016376E" w:rsidRDefault="0016376E" w:rsidP="00040E82">
      <w:pPr>
        <w:spacing w:after="0" w:line="240" w:lineRule="auto"/>
      </w:pPr>
      <w:r>
        <w:separator/>
      </w:r>
    </w:p>
  </w:footnote>
  <w:footnote w:type="continuationSeparator" w:id="0">
    <w:p w14:paraId="4B8D97EF" w14:textId="77777777" w:rsidR="0016376E" w:rsidRDefault="0016376E" w:rsidP="00040E82">
      <w:pPr>
        <w:spacing w:after="0" w:line="240" w:lineRule="auto"/>
      </w:pPr>
      <w:r>
        <w:continuationSeparator/>
      </w:r>
    </w:p>
  </w:footnote>
  <w:footnote w:id="1">
    <w:p w14:paraId="5CAFA4D4" w14:textId="32B4789D" w:rsidR="00040E82" w:rsidRPr="00A36011" w:rsidRDefault="00040E82">
      <w:pPr>
        <w:pStyle w:val="Notedebasdepage"/>
        <w:rPr>
          <w:rFonts w:ascii="Times New Roman" w:hAnsi="Times New Roman" w:cs="Times New Roman"/>
          <w:i/>
          <w:iCs/>
        </w:rPr>
      </w:pPr>
      <w:r w:rsidRPr="00A36011">
        <w:rPr>
          <w:rStyle w:val="Appelnotedebasdep"/>
          <w:rFonts w:ascii="Times New Roman" w:hAnsi="Times New Roman" w:cs="Times New Roman"/>
          <w:i/>
          <w:iCs/>
        </w:rPr>
        <w:footnoteRef/>
      </w:r>
      <w:r w:rsidRPr="00A36011">
        <w:rPr>
          <w:rFonts w:ascii="Times New Roman" w:hAnsi="Times New Roman" w:cs="Times New Roman"/>
          <w:i/>
          <w:iCs/>
        </w:rPr>
        <w:t xml:space="preserve"> Déclaration des droits de l’homme et du citoyen du 26 août 1789, art. 1er et 6 ; voir : </w:t>
      </w:r>
      <w:hyperlink r:id="rId1" w:history="1">
        <w:r w:rsidRPr="00A36011">
          <w:rPr>
            <w:rStyle w:val="Lienhypertexte"/>
            <w:rFonts w:ascii="Times New Roman" w:hAnsi="Times New Roman" w:cs="Times New Roman"/>
            <w:i/>
            <w:iCs/>
          </w:rPr>
          <w:t>Déclaration du 26 août 1789 des droits de l'homme et du citoyen. - Légifrance</w:t>
        </w:r>
      </w:hyperlink>
    </w:p>
    <w:p w14:paraId="6D8A56D3" w14:textId="77777777" w:rsidR="00A36011" w:rsidRPr="00A36011" w:rsidRDefault="00A36011">
      <w:pPr>
        <w:pStyle w:val="Notedebasdepage"/>
        <w:rPr>
          <w:rFonts w:ascii="Times New Roman" w:hAnsi="Times New Roman" w:cs="Times New Roman"/>
          <w:i/>
          <w:iCs/>
        </w:rPr>
      </w:pPr>
    </w:p>
  </w:footnote>
  <w:footnote w:id="2">
    <w:p w14:paraId="79767188" w14:textId="66990C4D" w:rsidR="00A36011" w:rsidRPr="003E7E16" w:rsidRDefault="00A36011">
      <w:pPr>
        <w:pStyle w:val="Notedebasdepage"/>
        <w:rPr>
          <w:rFonts w:ascii="Times New Roman" w:hAnsi="Times New Roman" w:cs="Times New Roman"/>
          <w:i/>
          <w:iCs/>
        </w:rPr>
      </w:pPr>
      <w:r w:rsidRPr="00A36011">
        <w:rPr>
          <w:rStyle w:val="Appelnotedebasdep"/>
          <w:rFonts w:ascii="Times New Roman" w:hAnsi="Times New Roman" w:cs="Times New Roman"/>
          <w:i/>
          <w:iCs/>
        </w:rPr>
        <w:footnoteRef/>
      </w:r>
      <w:r w:rsidRPr="00A36011">
        <w:rPr>
          <w:rFonts w:ascii="Times New Roman" w:hAnsi="Times New Roman" w:cs="Times New Roman"/>
          <w:i/>
          <w:iCs/>
        </w:rPr>
        <w:t xml:space="preserve"> Ordonnance du 21 avril 1944 portant organisation des pouvoirs publics en France après la Libération, art. 17.</w:t>
      </w:r>
    </w:p>
  </w:footnote>
  <w:footnote w:id="3">
    <w:p w14:paraId="0DF602D6" w14:textId="683FD716" w:rsidR="005D10B8" w:rsidRPr="00FB0EA7" w:rsidRDefault="005D10B8">
      <w:pPr>
        <w:pStyle w:val="Notedebasdepage"/>
        <w:rPr>
          <w:i/>
          <w:iCs/>
        </w:rPr>
      </w:pPr>
      <w:r w:rsidRPr="00FB0EA7">
        <w:rPr>
          <w:rStyle w:val="Appelnotedebasdep"/>
          <w:i/>
          <w:iCs/>
        </w:rPr>
        <w:footnoteRef/>
      </w:r>
      <w:r w:rsidRPr="00FB0EA7">
        <w:rPr>
          <w:i/>
          <w:iCs/>
        </w:rPr>
        <w:t xml:space="preserve"> </w:t>
      </w:r>
      <w:hyperlink r:id="rId2" w:history="1">
        <w:r w:rsidRPr="00FB0EA7">
          <w:rPr>
            <w:rStyle w:val="Lienhypertexte"/>
            <w:i/>
            <w:iCs/>
          </w:rPr>
          <w:t>https://www.superprof.fr/ressources/histoire/histoire-2nde/imperatifs-requis-democratie-antique.html</w:t>
        </w:r>
      </w:hyperlink>
    </w:p>
    <w:p w14:paraId="300A0D57" w14:textId="28317F86" w:rsidR="005D10B8" w:rsidRPr="00FB0EA7" w:rsidRDefault="005D10B8">
      <w:pPr>
        <w:pStyle w:val="Notedebasdepage"/>
        <w:rPr>
          <w:i/>
          <w:iCs/>
        </w:rPr>
      </w:pPr>
      <w:r w:rsidRPr="00FB0EA7">
        <w:rPr>
          <w:i/>
          <w:iCs/>
        </w:rPr>
        <w:t xml:space="preserve"> </w:t>
      </w:r>
    </w:p>
  </w:footnote>
  <w:footnote w:id="4">
    <w:p w14:paraId="052082C0" w14:textId="26E67D23" w:rsidR="00FB0EA7" w:rsidRPr="00FB0EA7" w:rsidRDefault="00FB0EA7">
      <w:pPr>
        <w:pStyle w:val="Notedebasdepage"/>
        <w:rPr>
          <w:i/>
          <w:iCs/>
        </w:rPr>
      </w:pPr>
      <w:r w:rsidRPr="00FB0EA7">
        <w:rPr>
          <w:rStyle w:val="Appelnotedebasdep"/>
          <w:i/>
          <w:iCs/>
        </w:rPr>
        <w:footnoteRef/>
      </w:r>
      <w:r w:rsidRPr="00FB0EA7">
        <w:rPr>
          <w:i/>
          <w:iCs/>
        </w:rPr>
        <w:t xml:space="preserve"> </w:t>
      </w:r>
      <w:hyperlink r:id="rId3" w:history="1">
        <w:r w:rsidRPr="00FB0EA7">
          <w:rPr>
            <w:rStyle w:val="Lienhypertexte"/>
            <w:i/>
            <w:iCs/>
          </w:rPr>
          <w:t>5 septembre 1791 - Déclaration des droits de la femme et de la citoyenne - Olympe de Gouges - Assemblée nationale</w:t>
        </w:r>
      </w:hyperlink>
    </w:p>
    <w:p w14:paraId="218F2F47" w14:textId="77777777" w:rsidR="00FB0EA7" w:rsidRPr="00FB0EA7" w:rsidRDefault="00FB0EA7">
      <w:pPr>
        <w:pStyle w:val="Notedebasdepage"/>
        <w:rPr>
          <w:i/>
          <w:iCs/>
        </w:rPr>
      </w:pPr>
    </w:p>
  </w:footnote>
  <w:footnote w:id="5">
    <w:p w14:paraId="5833E1D0" w14:textId="77777777" w:rsidR="00FB0EA7" w:rsidRPr="00FB0EA7" w:rsidRDefault="00FB0EA7" w:rsidP="00FB0EA7">
      <w:pPr>
        <w:pStyle w:val="Notedebasdepage"/>
      </w:pPr>
      <w:r>
        <w:rPr>
          <w:rStyle w:val="Appelnotedebasdep"/>
        </w:rPr>
        <w:footnoteRef/>
      </w:r>
      <w:r>
        <w:t xml:space="preserve"> </w:t>
      </w:r>
      <w:r w:rsidRPr="00FB0EA7">
        <w:rPr>
          <w:b/>
          <w:bCs/>
          <w:i/>
          <w:iCs/>
        </w:rPr>
        <w:t>[Dossier]</w:t>
      </w:r>
      <w:r w:rsidRPr="00FB0EA7">
        <w:rPr>
          <w:i/>
          <w:iCs/>
        </w:rPr>
        <w:t xml:space="preserve"> C. Achin, S. Lévêque, « La parité sous contrôle. Égalité des sexes et clôture du champ politique », Actes de la recherche en sciences sociales, 2014/4, n° 204, p. 118-137 (not. p. 119-122, 126, 128-129) — </w:t>
      </w:r>
      <w:hyperlink r:id="rId4" w:tgtFrame="_blank" w:history="1">
        <w:r w:rsidRPr="00FB0EA7">
          <w:rPr>
            <w:rStyle w:val="Lienhypertexte"/>
            <w:i/>
            <w:iCs/>
          </w:rPr>
          <w:t>Cairn</w:t>
        </w:r>
      </w:hyperlink>
      <w:r w:rsidRPr="00FB0EA7">
        <w:rPr>
          <w:i/>
          <w:iCs/>
        </w:rPr>
        <w:t>.</w:t>
      </w:r>
    </w:p>
    <w:p w14:paraId="6564E5AB" w14:textId="596AD488" w:rsidR="00FB0EA7" w:rsidRDefault="00FB0EA7">
      <w:pPr>
        <w:pStyle w:val="Notedebasdepage"/>
      </w:pPr>
    </w:p>
  </w:footnote>
  <w:footnote w:id="6">
    <w:p w14:paraId="6288145A" w14:textId="77777777" w:rsidR="009D5E8B" w:rsidRPr="009D5E8B" w:rsidRDefault="009D5E8B" w:rsidP="009D5E8B">
      <w:pPr>
        <w:pStyle w:val="Notedebasdepage"/>
        <w:rPr>
          <w:i/>
          <w:iCs/>
        </w:rPr>
      </w:pPr>
      <w:r w:rsidRPr="009D5E8B">
        <w:rPr>
          <w:rStyle w:val="Appelnotedebasdep"/>
          <w:i/>
          <w:iCs/>
        </w:rPr>
        <w:footnoteRef/>
      </w:r>
      <w:r w:rsidRPr="009D5E8B">
        <w:rPr>
          <w:i/>
          <w:iCs/>
        </w:rPr>
        <w:t xml:space="preserve"> Préambule de la Constitution du 27 octobre 1946, al. 3</w:t>
      </w:r>
    </w:p>
    <w:p w14:paraId="06982139" w14:textId="19819DD5" w:rsidR="009D5E8B" w:rsidRDefault="009D5E8B">
      <w:pPr>
        <w:pStyle w:val="Notedebasdepage"/>
      </w:pPr>
    </w:p>
  </w:footnote>
  <w:footnote w:id="7">
    <w:p w14:paraId="4E43B7DE" w14:textId="3EA73542" w:rsidR="00AA407D" w:rsidRDefault="00AA407D">
      <w:pPr>
        <w:pStyle w:val="Notedebasdepage"/>
        <w:rPr>
          <w:i/>
          <w:iCs/>
        </w:rPr>
      </w:pPr>
      <w:r>
        <w:rPr>
          <w:rStyle w:val="Appelnotedebasdep"/>
        </w:rPr>
        <w:footnoteRef/>
      </w:r>
      <w:r>
        <w:t xml:space="preserve"> </w:t>
      </w:r>
      <w:r w:rsidRPr="00AA407D">
        <w:rPr>
          <w:i/>
          <w:iCs/>
        </w:rPr>
        <w:t>L’article 1er, alinéa 2, de la Constitution du 4 octobre 1958 consacre le principe de l’égal accès des femmes et des hommes aux mandats électoraux et fonctions électives, ainsi qu’aux responsabilités professionnelles et sociales.</w:t>
      </w:r>
      <w:r>
        <w:rPr>
          <w:i/>
          <w:iCs/>
        </w:rPr>
        <w:t xml:space="preserve"> Voir : </w:t>
      </w:r>
      <w:hyperlink r:id="rId5" w:history="1">
        <w:r w:rsidR="00FA3BB1" w:rsidRPr="001E2828">
          <w:rPr>
            <w:rStyle w:val="Lienhypertexte"/>
            <w:i/>
            <w:iCs/>
          </w:rPr>
          <w:t>https://www.conseil-constitutionnel.fr/le-bloc-de-constitutionnalite/texte-integral-de-la-constitution-du-4-octobre-1958-en-vigueur</w:t>
        </w:r>
      </w:hyperlink>
    </w:p>
    <w:p w14:paraId="4BA89FB1" w14:textId="77777777" w:rsidR="00FA3BB1" w:rsidRDefault="00FA3BB1">
      <w:pPr>
        <w:pStyle w:val="Notedebasdepage"/>
      </w:pPr>
    </w:p>
  </w:footnote>
  <w:footnote w:id="8">
    <w:p w14:paraId="190F4304" w14:textId="77777777" w:rsidR="00A8438C" w:rsidRPr="00BF3978" w:rsidRDefault="00A8438C" w:rsidP="00A8438C">
      <w:pPr>
        <w:pStyle w:val="Notedebasdepage"/>
        <w:rPr>
          <w:i/>
          <w:iCs/>
        </w:rPr>
      </w:pPr>
      <w:r w:rsidRPr="00BF3978">
        <w:rPr>
          <w:rStyle w:val="Appelnotedebasdep"/>
          <w:i/>
          <w:iCs/>
        </w:rPr>
        <w:footnoteRef/>
      </w:r>
      <w:r w:rsidRPr="00BF3978">
        <w:rPr>
          <w:i/>
          <w:iCs/>
        </w:rPr>
        <w:t xml:space="preserve"> </w:t>
      </w:r>
      <w:r w:rsidRPr="00BF3978">
        <w:rPr>
          <w:b/>
          <w:bCs/>
          <w:i/>
          <w:iCs/>
        </w:rPr>
        <w:t>[Dossier]</w:t>
      </w:r>
      <w:r w:rsidRPr="00BF3978">
        <w:rPr>
          <w:i/>
          <w:iCs/>
        </w:rPr>
        <w:t xml:space="preserve"> C. Achin, S. Lévêque, « La parité sous contrôle. Égalité des sexes et clôture du champ politique », Actes de la recherche en sciences sociales, 2014/4, n° 204, p. 118-137 (not. p. 119-122, 126, 128-129) — </w:t>
      </w:r>
      <w:hyperlink r:id="rId6" w:tgtFrame="_blank" w:history="1">
        <w:r w:rsidRPr="00BF3978">
          <w:rPr>
            <w:rStyle w:val="Lienhypertexte"/>
            <w:i/>
            <w:iCs/>
          </w:rPr>
          <w:t>Cairn</w:t>
        </w:r>
      </w:hyperlink>
      <w:r w:rsidRPr="00BF3978">
        <w:rPr>
          <w:i/>
          <w:iCs/>
        </w:rPr>
        <w:t>.</w:t>
      </w:r>
    </w:p>
    <w:p w14:paraId="657EA58D" w14:textId="798ABD07" w:rsidR="00A8438C" w:rsidRPr="00BF3978" w:rsidRDefault="00A8438C">
      <w:pPr>
        <w:pStyle w:val="Notedebasdepage"/>
        <w:rPr>
          <w:i/>
          <w:iCs/>
        </w:rPr>
      </w:pPr>
    </w:p>
  </w:footnote>
  <w:footnote w:id="9">
    <w:p w14:paraId="4C197A43" w14:textId="77777777" w:rsidR="009A1317" w:rsidRPr="00BF3978" w:rsidRDefault="009A1317" w:rsidP="009A1317">
      <w:pPr>
        <w:pStyle w:val="Notedebasdepage"/>
        <w:rPr>
          <w:i/>
          <w:iCs/>
        </w:rPr>
      </w:pPr>
      <w:r w:rsidRPr="00BF3978">
        <w:rPr>
          <w:rStyle w:val="Appelnotedebasdep"/>
          <w:i/>
          <w:iCs/>
        </w:rPr>
        <w:footnoteRef/>
      </w:r>
      <w:r w:rsidRPr="00BF3978">
        <w:rPr>
          <w:i/>
          <w:iCs/>
        </w:rPr>
        <w:t xml:space="preserve"> CC, déc. n° 82-146 DC du 18 novembre 1982, Quotas par sexe I — </w:t>
      </w:r>
      <w:hyperlink r:id="rId7" w:tgtFrame="_blank" w:history="1">
        <w:r w:rsidRPr="00BF3978">
          <w:rPr>
            <w:rStyle w:val="Lienhypertexte"/>
            <w:i/>
            <w:iCs/>
          </w:rPr>
          <w:t>texte</w:t>
        </w:r>
      </w:hyperlink>
      <w:r w:rsidRPr="00BF3978">
        <w:rPr>
          <w:i/>
          <w:iCs/>
        </w:rPr>
        <w:t>.</w:t>
      </w:r>
    </w:p>
    <w:p w14:paraId="16B07D79" w14:textId="08743CB4" w:rsidR="009A1317" w:rsidRPr="00BF3978" w:rsidRDefault="009A1317">
      <w:pPr>
        <w:pStyle w:val="Notedebasdepage"/>
        <w:rPr>
          <w:i/>
          <w:iCs/>
        </w:rPr>
      </w:pPr>
    </w:p>
  </w:footnote>
  <w:footnote w:id="10">
    <w:p w14:paraId="7A42AF2F" w14:textId="77777777" w:rsidR="00BF3978" w:rsidRPr="00BF3978" w:rsidRDefault="00BF3978" w:rsidP="00BF3978">
      <w:pPr>
        <w:pStyle w:val="Notedebasdepage"/>
        <w:rPr>
          <w:i/>
          <w:iCs/>
        </w:rPr>
      </w:pPr>
      <w:r w:rsidRPr="00BF3978">
        <w:rPr>
          <w:rStyle w:val="Appelnotedebasdep"/>
          <w:i/>
          <w:iCs/>
        </w:rPr>
        <w:footnoteRef/>
      </w:r>
      <w:r w:rsidRPr="00BF3978">
        <w:rPr>
          <w:i/>
          <w:iCs/>
        </w:rPr>
        <w:t xml:space="preserve"> CC, déc. n° 98-407 DC du 14 janvier 1999, Mode d'élection des conseillers régionaux — </w:t>
      </w:r>
      <w:hyperlink r:id="rId8" w:tgtFrame="_blank" w:history="1">
        <w:r w:rsidRPr="00BF3978">
          <w:rPr>
            <w:rStyle w:val="Lienhypertexte"/>
            <w:i/>
            <w:iCs/>
          </w:rPr>
          <w:t>texte</w:t>
        </w:r>
      </w:hyperlink>
      <w:r w:rsidRPr="00BF3978">
        <w:rPr>
          <w:i/>
          <w:iCs/>
        </w:rPr>
        <w:t>.</w:t>
      </w:r>
    </w:p>
    <w:p w14:paraId="707DE0D1" w14:textId="6B4788EB" w:rsidR="00BF3978" w:rsidRDefault="00BF3978">
      <w:pPr>
        <w:pStyle w:val="Notedebasdepage"/>
      </w:pPr>
    </w:p>
  </w:footnote>
  <w:footnote w:id="11">
    <w:p w14:paraId="424C4EB1" w14:textId="77777777" w:rsidR="00BF3978" w:rsidRPr="00BF3978" w:rsidRDefault="00BF3978" w:rsidP="00BF3978">
      <w:pPr>
        <w:pStyle w:val="Notedebasdepage"/>
        <w:rPr>
          <w:i/>
          <w:iCs/>
        </w:rPr>
      </w:pPr>
      <w:r w:rsidRPr="00BF3978">
        <w:rPr>
          <w:rStyle w:val="Appelnotedebasdep"/>
          <w:i/>
          <w:iCs/>
        </w:rPr>
        <w:footnoteRef/>
      </w:r>
      <w:r w:rsidRPr="00BF3978">
        <w:rPr>
          <w:i/>
          <w:iCs/>
        </w:rPr>
        <w:t xml:space="preserve"> </w:t>
      </w:r>
      <w:r w:rsidRPr="00BF3978">
        <w:rPr>
          <w:b/>
          <w:bCs/>
          <w:i/>
          <w:iCs/>
        </w:rPr>
        <w:t>[Dossier]</w:t>
      </w:r>
      <w:r w:rsidRPr="00BF3978">
        <w:rPr>
          <w:i/>
          <w:iCs/>
        </w:rPr>
        <w:t xml:space="preserve"> C. Achin, S. Lévêque, « La parité sous contrôle. Égalité des sexes et clôture du champ politique », Actes de la recherche en sciences sociales, 2014/4, n° 204, p. 118-137 (not. p. 119-122, 126, 128-129) — </w:t>
      </w:r>
      <w:hyperlink r:id="rId9" w:tgtFrame="_blank" w:history="1">
        <w:r w:rsidRPr="00BF3978">
          <w:rPr>
            <w:rStyle w:val="Lienhypertexte"/>
            <w:i/>
            <w:iCs/>
          </w:rPr>
          <w:t>Cairn</w:t>
        </w:r>
      </w:hyperlink>
      <w:r w:rsidRPr="00BF3978">
        <w:rPr>
          <w:i/>
          <w:iCs/>
        </w:rPr>
        <w:t>.</w:t>
      </w:r>
    </w:p>
    <w:p w14:paraId="385591F9" w14:textId="0473B8EB" w:rsidR="00BF3978" w:rsidRDefault="00BF3978">
      <w:pPr>
        <w:pStyle w:val="Notedebasdepage"/>
      </w:pPr>
    </w:p>
  </w:footnote>
  <w:footnote w:id="12">
    <w:p w14:paraId="5DE8274C" w14:textId="77777777" w:rsidR="00BF3978" w:rsidRPr="00BF3978" w:rsidRDefault="00BF3978" w:rsidP="00BF3978">
      <w:pPr>
        <w:pStyle w:val="Notedebasdepage"/>
        <w:rPr>
          <w:i/>
          <w:iCs/>
        </w:rPr>
      </w:pPr>
      <w:r w:rsidRPr="00BF3978">
        <w:rPr>
          <w:rStyle w:val="Appelnotedebasdep"/>
          <w:i/>
          <w:iCs/>
        </w:rPr>
        <w:footnoteRef/>
      </w:r>
      <w:r w:rsidRPr="00BF3978">
        <w:rPr>
          <w:i/>
          <w:iCs/>
        </w:rPr>
        <w:t xml:space="preserve"> Loi constitutionnelle n° 99-569 du 8 juillet 1999 relative à l'égalité entre les femmes et les hommes</w:t>
      </w:r>
    </w:p>
    <w:p w14:paraId="3E08FA82" w14:textId="2E387E7B" w:rsidR="00BF3978" w:rsidRDefault="00BF3978">
      <w:pPr>
        <w:pStyle w:val="Notedebasdepage"/>
      </w:pPr>
    </w:p>
  </w:footnote>
  <w:footnote w:id="13">
    <w:p w14:paraId="0B88F2DC" w14:textId="77777777" w:rsidR="00077EFF" w:rsidRPr="00077EFF" w:rsidRDefault="00077EFF" w:rsidP="00077EFF">
      <w:pPr>
        <w:pStyle w:val="Notedebasdepage"/>
      </w:pPr>
      <w:r>
        <w:rPr>
          <w:rStyle w:val="Appelnotedebasdep"/>
        </w:rPr>
        <w:footnoteRef/>
      </w:r>
      <w:r>
        <w:t xml:space="preserve"> </w:t>
      </w:r>
      <w:r w:rsidRPr="00077EFF">
        <w:rPr>
          <w:i/>
          <w:iCs/>
        </w:rPr>
        <w:t>CC, déc. n° 2000-429 DC du 30 mai 2000, Loi tendant à favoriser l'égal accès</w:t>
      </w:r>
      <w:r w:rsidRPr="00077EFF">
        <w:t xml:space="preserve"> </w:t>
      </w:r>
    </w:p>
    <w:p w14:paraId="5050353D" w14:textId="1FD99759" w:rsidR="00077EFF" w:rsidRDefault="00077EFF">
      <w:pPr>
        <w:pStyle w:val="Notedebasdepage"/>
      </w:pPr>
    </w:p>
  </w:footnote>
  <w:footnote w:id="14">
    <w:p w14:paraId="0CA42F35" w14:textId="77777777" w:rsidR="00077EFF" w:rsidRPr="00077EFF" w:rsidRDefault="00077EFF" w:rsidP="00077EFF">
      <w:pPr>
        <w:pStyle w:val="Notedebasdepage"/>
      </w:pPr>
      <w:r>
        <w:rPr>
          <w:rStyle w:val="Appelnotedebasdep"/>
        </w:rPr>
        <w:footnoteRef/>
      </w:r>
      <w:r>
        <w:t xml:space="preserve"> </w:t>
      </w:r>
      <w:r w:rsidRPr="00077EFF">
        <w:rPr>
          <w:i/>
          <w:iCs/>
        </w:rPr>
        <w:t>CC, déc. n° 2006-533 DC du 16 mars 2006, Loi relative à l'égalité salariale</w:t>
      </w:r>
    </w:p>
    <w:p w14:paraId="022928B5" w14:textId="11B3AA65" w:rsidR="00077EFF" w:rsidRDefault="00077EFF">
      <w:pPr>
        <w:pStyle w:val="Notedebasdepage"/>
      </w:pPr>
    </w:p>
  </w:footnote>
  <w:footnote w:id="15">
    <w:p w14:paraId="19981155" w14:textId="77777777" w:rsidR="00655D6A" w:rsidRPr="00655D6A" w:rsidRDefault="00655D6A" w:rsidP="00655D6A">
      <w:pPr>
        <w:pStyle w:val="Notedebasdepage"/>
      </w:pPr>
      <w:r>
        <w:rPr>
          <w:rStyle w:val="Appelnotedebasdep"/>
        </w:rPr>
        <w:footnoteRef/>
      </w:r>
      <w:r>
        <w:t xml:space="preserve"> </w:t>
      </w:r>
      <w:r w:rsidRPr="00655D6A">
        <w:t>La consécration constitutionnelle de l’égal accès des femmes et des hommes aux responsabilités s’est opérée progressivement. Introduit à l’article 3 de la Constitution par la révision constitutionnelle du 8 juillet 1999, ce principe a été transféré à l’article 1er par la révision du 23 juillet 2008, qui en a étendu la portée aux responsabilités professionnelles et sociales.</w:t>
      </w:r>
    </w:p>
    <w:p w14:paraId="71816914" w14:textId="79DDB375" w:rsidR="00655D6A" w:rsidRDefault="00655D6A">
      <w:pPr>
        <w:pStyle w:val="Notedebasdepage"/>
      </w:pPr>
    </w:p>
  </w:footnote>
  <w:footnote w:id="16">
    <w:p w14:paraId="1A7DCC8D" w14:textId="77777777" w:rsidR="009A6348" w:rsidRPr="009A6348" w:rsidRDefault="009A6348" w:rsidP="009A6348">
      <w:pPr>
        <w:pStyle w:val="Notedebasdepage"/>
        <w:rPr>
          <w:b/>
          <w:bCs/>
        </w:rPr>
      </w:pPr>
      <w:r>
        <w:rPr>
          <w:rStyle w:val="Appelnotedebasdep"/>
        </w:rPr>
        <w:footnoteRef/>
      </w:r>
      <w:r>
        <w:t xml:space="preserve"> </w:t>
      </w:r>
      <w:r w:rsidRPr="009A6348">
        <w:rPr>
          <w:i/>
          <w:iCs/>
        </w:rPr>
        <w:t>Loi n° 2000-493 du 6 juin 2000 tendant à favoriser l'égal accès des femmes et des hommes aux mandats électoraux et fonctions électives</w:t>
      </w:r>
    </w:p>
    <w:p w14:paraId="3689691D" w14:textId="671CFF9B" w:rsidR="009A6348" w:rsidRDefault="009A6348">
      <w:pPr>
        <w:pStyle w:val="Notedebasdepage"/>
      </w:pPr>
    </w:p>
  </w:footnote>
  <w:footnote w:id="17">
    <w:p w14:paraId="7E7C36AD" w14:textId="77777777" w:rsidR="00BD48A7" w:rsidRPr="00BD48A7" w:rsidRDefault="00BD48A7" w:rsidP="00BD48A7">
      <w:pPr>
        <w:pStyle w:val="Notedebasdepage"/>
        <w:rPr>
          <w:b/>
          <w:bCs/>
        </w:rPr>
      </w:pPr>
      <w:r>
        <w:rPr>
          <w:rStyle w:val="Appelnotedebasdep"/>
        </w:rPr>
        <w:footnoteRef/>
      </w:r>
      <w:r>
        <w:t xml:space="preserve"> </w:t>
      </w:r>
      <w:r w:rsidRPr="00BD48A7">
        <w:rPr>
          <w:i/>
          <w:iCs/>
        </w:rPr>
        <w:t>LOI n° 2007-130 du 31 janvier 2007 de modernisation du dialogue social</w:t>
      </w:r>
      <w:r w:rsidRPr="00BD48A7">
        <w:rPr>
          <w:b/>
          <w:bCs/>
        </w:rPr>
        <w:t> </w:t>
      </w:r>
    </w:p>
    <w:p w14:paraId="60147F4F" w14:textId="7E4A7923" w:rsidR="00BD48A7" w:rsidRDefault="00BD48A7">
      <w:pPr>
        <w:pStyle w:val="Notedebasdepage"/>
      </w:pPr>
    </w:p>
  </w:footnote>
  <w:footnote w:id="18">
    <w:p w14:paraId="6C0B87FF" w14:textId="77777777" w:rsidR="00BD48A7" w:rsidRPr="00BD48A7" w:rsidRDefault="00BD48A7" w:rsidP="00BD48A7">
      <w:pPr>
        <w:pStyle w:val="Notedebasdepage"/>
      </w:pPr>
      <w:r>
        <w:rPr>
          <w:rStyle w:val="Appelnotedebasdep"/>
        </w:rPr>
        <w:footnoteRef/>
      </w:r>
      <w:r>
        <w:t xml:space="preserve"> </w:t>
      </w:r>
      <w:r w:rsidRPr="00BD48A7">
        <w:rPr>
          <w:b/>
          <w:bCs/>
          <w:i/>
          <w:iCs/>
        </w:rPr>
        <w:t>[Dossier]</w:t>
      </w:r>
      <w:r w:rsidRPr="00BD48A7">
        <w:rPr>
          <w:i/>
          <w:iCs/>
        </w:rPr>
        <w:t xml:space="preserve"> C. Achin, S. Lévêque, « La parité sous contrôle. Égalité des sexes et clôture du champ politique », Actes de la recherche en sciences sociales, 2014/4, n° 204, p. 118-137 (not. p. 119-122, 126, 128-129)</w:t>
      </w:r>
      <w:r w:rsidRPr="00BD48A7">
        <w:t xml:space="preserve"> </w:t>
      </w:r>
    </w:p>
    <w:p w14:paraId="137D6394" w14:textId="116D267E" w:rsidR="00BD48A7" w:rsidRDefault="00BD48A7">
      <w:pPr>
        <w:pStyle w:val="Notedebasdepage"/>
      </w:pPr>
    </w:p>
  </w:footnote>
  <w:footnote w:id="19">
    <w:p w14:paraId="6FE7651B" w14:textId="77777777" w:rsidR="005250ED" w:rsidRPr="005250ED" w:rsidRDefault="005250ED" w:rsidP="005250ED">
      <w:pPr>
        <w:pStyle w:val="Notedebasdepage"/>
        <w:rPr>
          <w:b/>
          <w:bCs/>
        </w:rPr>
      </w:pPr>
      <w:r>
        <w:rPr>
          <w:rStyle w:val="Appelnotedebasdep"/>
        </w:rPr>
        <w:footnoteRef/>
      </w:r>
      <w:r>
        <w:t xml:space="preserve"> </w:t>
      </w:r>
      <w:r w:rsidRPr="005250ED">
        <w:rPr>
          <w:i/>
          <w:iCs/>
        </w:rPr>
        <w:t>LOI n° 2025-444 du 21 mai 2025 visant à harmoniser le mode de scrutin aux élections municipales afin de garantir la vitalité démocratique, la cohésion municipale et la parité</w:t>
      </w:r>
      <w:r w:rsidRPr="005250ED">
        <w:rPr>
          <w:b/>
          <w:bCs/>
        </w:rPr>
        <w:t> </w:t>
      </w:r>
    </w:p>
    <w:p w14:paraId="28A7C0A8" w14:textId="1B1EB991" w:rsidR="005250ED" w:rsidRDefault="005250ED">
      <w:pPr>
        <w:pStyle w:val="Notedebasdepage"/>
      </w:pPr>
    </w:p>
  </w:footnote>
  <w:footnote w:id="20">
    <w:p w14:paraId="2EED9D0A" w14:textId="4D22755D" w:rsidR="00EB6B7C" w:rsidRPr="00EB6B7C" w:rsidRDefault="00EB6B7C">
      <w:pPr>
        <w:pStyle w:val="Notedebasdepage"/>
        <w:rPr>
          <w:rFonts w:ascii="Times New Roman" w:eastAsia="Times New Roman" w:hAnsi="Times New Roman" w:cs="Times New Roman"/>
          <w:i/>
          <w:iCs/>
          <w:kern w:val="0"/>
          <w:lang w:eastAsia="fr-FR"/>
          <w14:ligatures w14:val="none"/>
        </w:rPr>
      </w:pPr>
      <w:r w:rsidRPr="00EB6B7C">
        <w:rPr>
          <w:rStyle w:val="Appelnotedebasdep"/>
          <w:i/>
          <w:iCs/>
        </w:rPr>
        <w:footnoteRef/>
      </w:r>
      <w:r w:rsidRPr="00EB6B7C">
        <w:rPr>
          <w:i/>
          <w:iCs/>
        </w:rPr>
        <w:t xml:space="preserve"> </w:t>
      </w:r>
      <w:r w:rsidRPr="00EB6B7C">
        <w:rPr>
          <w:rFonts w:ascii="Times New Roman" w:eastAsia="Times New Roman" w:hAnsi="Times New Roman" w:cs="Times New Roman"/>
          <w:i/>
          <w:iCs/>
          <w:kern w:val="0"/>
          <w:lang w:eastAsia="fr-FR"/>
          <w14:ligatures w14:val="none"/>
        </w:rPr>
        <w:t>[6, p. 126] [Dossier].</w:t>
      </w:r>
    </w:p>
    <w:p w14:paraId="7DE015DC" w14:textId="77777777" w:rsidR="00EB6B7C" w:rsidRPr="00EB6B7C" w:rsidRDefault="00EB6B7C">
      <w:pPr>
        <w:pStyle w:val="Notedebasdepage"/>
        <w:rPr>
          <w:i/>
          <w:iCs/>
        </w:rPr>
      </w:pPr>
    </w:p>
  </w:footnote>
  <w:footnote w:id="21">
    <w:p w14:paraId="0DF68744" w14:textId="77777777" w:rsidR="00EB6B7C" w:rsidRPr="00CD3D8A" w:rsidRDefault="00EB6B7C" w:rsidP="00EB6B7C">
      <w:pPr>
        <w:pStyle w:val="Notedebasdepage"/>
        <w:rPr>
          <w:i/>
          <w:iCs/>
        </w:rPr>
      </w:pPr>
      <w:r w:rsidRPr="00CD3D8A">
        <w:rPr>
          <w:rStyle w:val="Appelnotedebasdep"/>
          <w:i/>
          <w:iCs/>
        </w:rPr>
        <w:footnoteRef/>
      </w:r>
      <w:r w:rsidRPr="00CD3D8A">
        <w:rPr>
          <w:i/>
          <w:iCs/>
        </w:rPr>
        <w:t xml:space="preserve"> Public Sénat, « Municipales 2026 : la part des mairies dirigées par des femmes… </w:t>
      </w:r>
    </w:p>
    <w:p w14:paraId="5AA5AACD" w14:textId="45AFE6B6" w:rsidR="00EB6B7C" w:rsidRPr="00CD3D8A" w:rsidRDefault="00EB6B7C">
      <w:pPr>
        <w:pStyle w:val="Notedebasdepage"/>
        <w:rPr>
          <w:i/>
          <w:iCs/>
        </w:rPr>
      </w:pPr>
    </w:p>
  </w:footnote>
  <w:footnote w:id="22">
    <w:p w14:paraId="2DF1A66A" w14:textId="77777777" w:rsidR="00EB6B7C" w:rsidRPr="00472481" w:rsidRDefault="00EB6B7C" w:rsidP="00EB6B7C">
      <w:pPr>
        <w:pStyle w:val="Notedebasdepage"/>
        <w:rPr>
          <w:i/>
          <w:iCs/>
        </w:rPr>
      </w:pPr>
      <w:r w:rsidRPr="00472481">
        <w:rPr>
          <w:rStyle w:val="Appelnotedebasdep"/>
          <w:i/>
          <w:iCs/>
        </w:rPr>
        <w:footnoteRef/>
      </w:r>
      <w:r w:rsidRPr="00472481">
        <w:rPr>
          <w:i/>
          <w:iCs/>
        </w:rPr>
        <w:t xml:space="preserve"> Insee Flash Bourgogne-Franche-Comté, « Municipales 2026 : la féminisation… », 2026</w:t>
      </w:r>
    </w:p>
    <w:p w14:paraId="0D7356C0" w14:textId="2A8A0421" w:rsidR="00EB6B7C" w:rsidRPr="00472481" w:rsidRDefault="00EB6B7C">
      <w:pPr>
        <w:pStyle w:val="Notedebasdepage"/>
        <w:rPr>
          <w:i/>
          <w:iCs/>
        </w:rPr>
      </w:pPr>
    </w:p>
  </w:footnote>
  <w:footnote w:id="23">
    <w:p w14:paraId="5D0BF1AC" w14:textId="57F9242C" w:rsidR="00CD3D8A" w:rsidRPr="00472481" w:rsidRDefault="00CD3D8A">
      <w:pPr>
        <w:pStyle w:val="Notedebasdepage"/>
        <w:rPr>
          <w:rFonts w:eastAsia="Times New Roman"/>
          <w:i/>
          <w:iCs/>
          <w:kern w:val="0"/>
          <w:lang w:eastAsia="fr-FR"/>
          <w14:ligatures w14:val="none"/>
        </w:rPr>
      </w:pPr>
      <w:r w:rsidRPr="00472481">
        <w:rPr>
          <w:rStyle w:val="Appelnotedebasdep"/>
          <w:i/>
          <w:iCs/>
        </w:rPr>
        <w:footnoteRef/>
      </w:r>
      <w:r w:rsidRPr="00472481">
        <w:rPr>
          <w:i/>
          <w:iCs/>
        </w:rPr>
        <w:t xml:space="preserve"> </w:t>
      </w:r>
      <w:r w:rsidRPr="00472481">
        <w:rPr>
          <w:rFonts w:eastAsia="Times New Roman"/>
          <w:i/>
          <w:iCs/>
          <w:kern w:val="0"/>
          <w:lang w:eastAsia="fr-FR"/>
          <w14:ligatures w14:val="none"/>
        </w:rPr>
        <w:t xml:space="preserve">[6, p. 126] </w:t>
      </w:r>
      <w:r w:rsidRPr="00472481">
        <w:rPr>
          <w:rFonts w:eastAsia="Times New Roman"/>
          <w:b/>
          <w:bCs/>
          <w:i/>
          <w:iCs/>
          <w:kern w:val="0"/>
          <w:lang w:eastAsia="fr-FR"/>
          <w14:ligatures w14:val="none"/>
        </w:rPr>
        <w:t>[Dossier]</w:t>
      </w:r>
      <w:r w:rsidRPr="00472481">
        <w:rPr>
          <w:rFonts w:eastAsia="Times New Roman"/>
          <w:i/>
          <w:iCs/>
          <w:kern w:val="0"/>
          <w:lang w:eastAsia="fr-FR"/>
          <w14:ligatures w14:val="none"/>
        </w:rPr>
        <w:t>.</w:t>
      </w:r>
    </w:p>
    <w:p w14:paraId="6D9E500B" w14:textId="77777777" w:rsidR="00CD3D8A" w:rsidRPr="00472481" w:rsidRDefault="00CD3D8A">
      <w:pPr>
        <w:pStyle w:val="Notedebasdepage"/>
        <w:rPr>
          <w:i/>
          <w:iCs/>
        </w:rPr>
      </w:pPr>
    </w:p>
  </w:footnote>
  <w:footnote w:id="24">
    <w:p w14:paraId="644E854B" w14:textId="77777777" w:rsidR="00CD3D8A" w:rsidRPr="00472481" w:rsidRDefault="00CD3D8A" w:rsidP="00CD3D8A">
      <w:pPr>
        <w:pStyle w:val="Notedebasdepage"/>
        <w:rPr>
          <w:i/>
          <w:iCs/>
        </w:rPr>
      </w:pPr>
      <w:r w:rsidRPr="00472481">
        <w:rPr>
          <w:rStyle w:val="Appelnotedebasdep"/>
          <w:i/>
          <w:iCs/>
        </w:rPr>
        <w:footnoteRef/>
      </w:r>
      <w:r w:rsidRPr="00472481">
        <w:rPr>
          <w:i/>
          <w:iCs/>
        </w:rPr>
        <w:t xml:space="preserve"> [20, p. 145-147] </w:t>
      </w:r>
      <w:r w:rsidRPr="00472481">
        <w:rPr>
          <w:b/>
          <w:bCs/>
          <w:i/>
          <w:iCs/>
        </w:rPr>
        <w:t>[Dossier]</w:t>
      </w:r>
      <w:r w:rsidRPr="00472481">
        <w:rPr>
          <w:i/>
          <w:iCs/>
        </w:rPr>
        <w:t>.</w:t>
      </w:r>
    </w:p>
    <w:p w14:paraId="0BF75E0F" w14:textId="335C7CFE" w:rsidR="00CD3D8A" w:rsidRPr="00472481" w:rsidRDefault="00CD3D8A">
      <w:pPr>
        <w:pStyle w:val="Notedebasdepage"/>
        <w:rPr>
          <w:i/>
          <w:iCs/>
        </w:rPr>
      </w:pPr>
    </w:p>
  </w:footnote>
  <w:footnote w:id="25">
    <w:p w14:paraId="4F9425F6" w14:textId="77777777" w:rsidR="00CD3D8A" w:rsidRPr="00472481" w:rsidRDefault="00CD3D8A" w:rsidP="00CD3D8A">
      <w:pPr>
        <w:pStyle w:val="Notedebasdepage"/>
        <w:rPr>
          <w:i/>
          <w:iCs/>
        </w:rPr>
      </w:pPr>
      <w:r w:rsidRPr="00472481">
        <w:rPr>
          <w:rStyle w:val="Appelnotedebasdep"/>
          <w:i/>
          <w:iCs/>
        </w:rPr>
        <w:footnoteRef/>
      </w:r>
      <w:r w:rsidRPr="00472481">
        <w:rPr>
          <w:i/>
          <w:iCs/>
        </w:rPr>
        <w:t xml:space="preserve"> [20, p. 137 et 140-144] </w:t>
      </w:r>
      <w:r w:rsidRPr="00472481">
        <w:rPr>
          <w:b/>
          <w:bCs/>
          <w:i/>
          <w:iCs/>
        </w:rPr>
        <w:t>[Dossier]</w:t>
      </w:r>
    </w:p>
    <w:p w14:paraId="2D7ECF6D" w14:textId="01813792" w:rsidR="00CD3D8A" w:rsidRPr="00472481" w:rsidRDefault="00CD3D8A">
      <w:pPr>
        <w:pStyle w:val="Notedebasdepage"/>
        <w:rPr>
          <w:i/>
          <w:iCs/>
        </w:rPr>
      </w:pPr>
    </w:p>
  </w:footnote>
  <w:footnote w:id="26">
    <w:p w14:paraId="735774A9" w14:textId="77777777" w:rsidR="00472481" w:rsidRPr="00472481" w:rsidRDefault="00472481" w:rsidP="00472481">
      <w:pPr>
        <w:pStyle w:val="Notedebasdepage"/>
        <w:rPr>
          <w:i/>
          <w:iCs/>
        </w:rPr>
      </w:pPr>
      <w:r w:rsidRPr="00472481">
        <w:rPr>
          <w:rStyle w:val="Appelnotedebasdep"/>
          <w:i/>
          <w:iCs/>
        </w:rPr>
        <w:footnoteRef/>
      </w:r>
      <w:r w:rsidRPr="00472481">
        <w:rPr>
          <w:i/>
          <w:iCs/>
        </w:rPr>
        <w:t xml:space="preserve"> C. Achin, S. Lévêque, art. </w:t>
      </w:r>
      <w:proofErr w:type="spellStart"/>
      <w:r w:rsidRPr="00472481">
        <w:rPr>
          <w:i/>
          <w:iCs/>
        </w:rPr>
        <w:t>préc</w:t>
      </w:r>
      <w:proofErr w:type="spellEnd"/>
      <w:r w:rsidRPr="00472481">
        <w:rPr>
          <w:i/>
          <w:iCs/>
        </w:rPr>
        <w:t>., p. 128-129.</w:t>
      </w:r>
    </w:p>
    <w:p w14:paraId="2BF3496C" w14:textId="7D237A71" w:rsidR="00472481" w:rsidRDefault="00472481">
      <w:pPr>
        <w:pStyle w:val="Notedebasdepage"/>
      </w:pPr>
    </w:p>
  </w:footnote>
  <w:footnote w:id="27">
    <w:p w14:paraId="13B6D20F" w14:textId="77777777" w:rsidR="00472481" w:rsidRPr="00472481" w:rsidRDefault="00472481" w:rsidP="00472481">
      <w:pPr>
        <w:pStyle w:val="Notedebasdepage"/>
        <w:rPr>
          <w:i/>
          <w:iCs/>
        </w:rPr>
      </w:pPr>
      <w:r w:rsidRPr="00472481">
        <w:rPr>
          <w:rStyle w:val="Appelnotedebasdep"/>
          <w:i/>
          <w:iCs/>
        </w:rPr>
        <w:footnoteRef/>
      </w:r>
      <w:r w:rsidRPr="00472481">
        <w:rPr>
          <w:i/>
          <w:iCs/>
        </w:rPr>
        <w:t xml:space="preserve"> C. Achin, S. Lévêque, art. </w:t>
      </w:r>
      <w:proofErr w:type="spellStart"/>
      <w:r w:rsidRPr="00472481">
        <w:rPr>
          <w:i/>
          <w:iCs/>
        </w:rPr>
        <w:t>préc</w:t>
      </w:r>
      <w:proofErr w:type="spellEnd"/>
      <w:r w:rsidRPr="00472481">
        <w:rPr>
          <w:i/>
          <w:iCs/>
        </w:rPr>
        <w:t>., p. 135-136.</w:t>
      </w:r>
    </w:p>
    <w:p w14:paraId="56F1B8CF" w14:textId="67A53475" w:rsidR="00472481" w:rsidRDefault="00472481">
      <w:pPr>
        <w:pStyle w:val="Notedebasdepage"/>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02E41"/>
    <w:multiLevelType w:val="hybridMultilevel"/>
    <w:tmpl w:val="A2D44570"/>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35B469BC"/>
    <w:multiLevelType w:val="hybridMultilevel"/>
    <w:tmpl w:val="97DECEBA"/>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67D64541"/>
    <w:multiLevelType w:val="hybridMultilevel"/>
    <w:tmpl w:val="36B67398"/>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68B7770E"/>
    <w:multiLevelType w:val="hybridMultilevel"/>
    <w:tmpl w:val="A2D44570"/>
    <w:lvl w:ilvl="0" w:tplc="040C0015">
      <w:start w:val="1"/>
      <w:numFmt w:val="upp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num w:numId="1" w16cid:durableId="937759502">
    <w:abstractNumId w:val="1"/>
  </w:num>
  <w:num w:numId="2" w16cid:durableId="1120370161">
    <w:abstractNumId w:val="3"/>
  </w:num>
  <w:num w:numId="3" w16cid:durableId="603878589">
    <w:abstractNumId w:val="2"/>
  </w:num>
  <w:num w:numId="4" w16cid:durableId="767195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F6F"/>
    <w:rsid w:val="00034F6F"/>
    <w:rsid w:val="00040E82"/>
    <w:rsid w:val="00077EFF"/>
    <w:rsid w:val="0016376E"/>
    <w:rsid w:val="00304FD9"/>
    <w:rsid w:val="00363602"/>
    <w:rsid w:val="00375BB7"/>
    <w:rsid w:val="00397FB8"/>
    <w:rsid w:val="003D5CBC"/>
    <w:rsid w:val="003E7E16"/>
    <w:rsid w:val="00447B55"/>
    <w:rsid w:val="00472481"/>
    <w:rsid w:val="005250ED"/>
    <w:rsid w:val="005D10B8"/>
    <w:rsid w:val="00655D6A"/>
    <w:rsid w:val="006E2F17"/>
    <w:rsid w:val="006F1098"/>
    <w:rsid w:val="007E0B47"/>
    <w:rsid w:val="00972604"/>
    <w:rsid w:val="0097324A"/>
    <w:rsid w:val="009A1317"/>
    <w:rsid w:val="009A6348"/>
    <w:rsid w:val="009D5E8B"/>
    <w:rsid w:val="00A36011"/>
    <w:rsid w:val="00A54636"/>
    <w:rsid w:val="00A66FC9"/>
    <w:rsid w:val="00A8438C"/>
    <w:rsid w:val="00AA407D"/>
    <w:rsid w:val="00AD4C8E"/>
    <w:rsid w:val="00BD48A7"/>
    <w:rsid w:val="00BE70CC"/>
    <w:rsid w:val="00BF3978"/>
    <w:rsid w:val="00CD3D8A"/>
    <w:rsid w:val="00D21AA2"/>
    <w:rsid w:val="00D4736B"/>
    <w:rsid w:val="00DA0AA2"/>
    <w:rsid w:val="00E84EC7"/>
    <w:rsid w:val="00EB6B7C"/>
    <w:rsid w:val="00EE701B"/>
    <w:rsid w:val="00EF2B60"/>
    <w:rsid w:val="00FA3BB1"/>
    <w:rsid w:val="00FB0EA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17851"/>
  <w15:chartTrackingRefBased/>
  <w15:docId w15:val="{76FA73C0-51F0-46AF-B41C-89579109E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34F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034F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034F6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34F6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34F6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34F6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34F6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34F6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34F6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34F6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034F6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034F6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34F6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34F6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34F6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34F6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34F6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34F6F"/>
    <w:rPr>
      <w:rFonts w:eastAsiaTheme="majorEastAsia" w:cstheme="majorBidi"/>
      <w:color w:val="272727" w:themeColor="text1" w:themeTint="D8"/>
    </w:rPr>
  </w:style>
  <w:style w:type="paragraph" w:styleId="Titre">
    <w:name w:val="Title"/>
    <w:basedOn w:val="Normal"/>
    <w:next w:val="Normal"/>
    <w:link w:val="TitreCar"/>
    <w:uiPriority w:val="10"/>
    <w:qFormat/>
    <w:rsid w:val="00034F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34F6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34F6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34F6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34F6F"/>
    <w:pPr>
      <w:spacing w:before="160"/>
      <w:jc w:val="center"/>
    </w:pPr>
    <w:rPr>
      <w:i/>
      <w:iCs/>
      <w:color w:val="404040" w:themeColor="text1" w:themeTint="BF"/>
    </w:rPr>
  </w:style>
  <w:style w:type="character" w:customStyle="1" w:styleId="CitationCar">
    <w:name w:val="Citation Car"/>
    <w:basedOn w:val="Policepardfaut"/>
    <w:link w:val="Citation"/>
    <w:uiPriority w:val="29"/>
    <w:rsid w:val="00034F6F"/>
    <w:rPr>
      <w:i/>
      <w:iCs/>
      <w:color w:val="404040" w:themeColor="text1" w:themeTint="BF"/>
    </w:rPr>
  </w:style>
  <w:style w:type="paragraph" w:styleId="Paragraphedeliste">
    <w:name w:val="List Paragraph"/>
    <w:basedOn w:val="Normal"/>
    <w:uiPriority w:val="34"/>
    <w:qFormat/>
    <w:rsid w:val="00034F6F"/>
    <w:pPr>
      <w:ind w:left="720"/>
      <w:contextualSpacing/>
    </w:pPr>
  </w:style>
  <w:style w:type="character" w:styleId="Accentuationintense">
    <w:name w:val="Intense Emphasis"/>
    <w:basedOn w:val="Policepardfaut"/>
    <w:uiPriority w:val="21"/>
    <w:qFormat/>
    <w:rsid w:val="00034F6F"/>
    <w:rPr>
      <w:i/>
      <w:iCs/>
      <w:color w:val="0F4761" w:themeColor="accent1" w:themeShade="BF"/>
    </w:rPr>
  </w:style>
  <w:style w:type="paragraph" w:styleId="Citationintense">
    <w:name w:val="Intense Quote"/>
    <w:basedOn w:val="Normal"/>
    <w:next w:val="Normal"/>
    <w:link w:val="CitationintenseCar"/>
    <w:uiPriority w:val="30"/>
    <w:qFormat/>
    <w:rsid w:val="00034F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34F6F"/>
    <w:rPr>
      <w:i/>
      <w:iCs/>
      <w:color w:val="0F4761" w:themeColor="accent1" w:themeShade="BF"/>
    </w:rPr>
  </w:style>
  <w:style w:type="character" w:styleId="Rfrenceintense">
    <w:name w:val="Intense Reference"/>
    <w:basedOn w:val="Policepardfaut"/>
    <w:uiPriority w:val="32"/>
    <w:qFormat/>
    <w:rsid w:val="00034F6F"/>
    <w:rPr>
      <w:b/>
      <w:bCs/>
      <w:smallCaps/>
      <w:color w:val="0F4761" w:themeColor="accent1" w:themeShade="BF"/>
      <w:spacing w:val="5"/>
    </w:rPr>
  </w:style>
  <w:style w:type="paragraph" w:styleId="Notedebasdepage">
    <w:name w:val="footnote text"/>
    <w:basedOn w:val="Normal"/>
    <w:link w:val="NotedebasdepageCar"/>
    <w:uiPriority w:val="99"/>
    <w:semiHidden/>
    <w:unhideWhenUsed/>
    <w:rsid w:val="00040E82"/>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040E82"/>
    <w:rPr>
      <w:sz w:val="20"/>
      <w:szCs w:val="20"/>
    </w:rPr>
  </w:style>
  <w:style w:type="character" w:styleId="Appelnotedebasdep">
    <w:name w:val="footnote reference"/>
    <w:basedOn w:val="Policepardfaut"/>
    <w:uiPriority w:val="99"/>
    <w:semiHidden/>
    <w:unhideWhenUsed/>
    <w:rsid w:val="00040E82"/>
    <w:rPr>
      <w:vertAlign w:val="superscript"/>
    </w:rPr>
  </w:style>
  <w:style w:type="paragraph" w:styleId="NormalWeb">
    <w:name w:val="Normal (Web)"/>
    <w:basedOn w:val="Normal"/>
    <w:uiPriority w:val="99"/>
    <w:semiHidden/>
    <w:unhideWhenUsed/>
    <w:rsid w:val="00040E82"/>
    <w:rPr>
      <w:rFonts w:ascii="Times New Roman" w:hAnsi="Times New Roman" w:cs="Times New Roman"/>
    </w:rPr>
  </w:style>
  <w:style w:type="character" w:styleId="Lienhypertexte">
    <w:name w:val="Hyperlink"/>
    <w:basedOn w:val="Policepardfaut"/>
    <w:uiPriority w:val="99"/>
    <w:unhideWhenUsed/>
    <w:rsid w:val="00040E82"/>
    <w:rPr>
      <w:color w:val="467886" w:themeColor="hyperlink"/>
      <w:u w:val="single"/>
    </w:rPr>
  </w:style>
  <w:style w:type="character" w:styleId="Mentionnonrsolue">
    <w:name w:val="Unresolved Mention"/>
    <w:basedOn w:val="Policepardfaut"/>
    <w:uiPriority w:val="99"/>
    <w:semiHidden/>
    <w:unhideWhenUsed/>
    <w:rsid w:val="00040E82"/>
    <w:rPr>
      <w:color w:val="605E5C"/>
      <w:shd w:val="clear" w:color="auto" w:fill="E1DFDD"/>
    </w:rPr>
  </w:style>
  <w:style w:type="character" w:styleId="lev">
    <w:name w:val="Strong"/>
    <w:basedOn w:val="Policepardfaut"/>
    <w:uiPriority w:val="22"/>
    <w:qFormat/>
    <w:rsid w:val="00655D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www.conseil-constitutionnel.fr/decision/1999/98407DC.htm" TargetMode="External"/><Relationship Id="rId3" Type="http://schemas.openxmlformats.org/officeDocument/2006/relationships/hyperlink" Target="https://www.assemblee-nationale.fr/dyn/histoire-et-patrimoine/revolution-francaise/declaration-des-droits-de-la-femme-et-de-la-citoyenne-olympe-de-gouges" TargetMode="External"/><Relationship Id="rId7" Type="http://schemas.openxmlformats.org/officeDocument/2006/relationships/hyperlink" Target="https://www.conseil-constitutionnel.fr/decision/1982/82146DC.htm" TargetMode="External"/><Relationship Id="rId2" Type="http://schemas.openxmlformats.org/officeDocument/2006/relationships/hyperlink" Target="https://www.superprof.fr/ressources/histoire/histoire-2nde/imperatifs-requis-democratie-antique.html" TargetMode="External"/><Relationship Id="rId1" Type="http://schemas.openxmlformats.org/officeDocument/2006/relationships/hyperlink" Target="https://www.legifrance.gouv.fr/loda/id/LEGITEXT000006071192/" TargetMode="External"/><Relationship Id="rId6" Type="http://schemas.openxmlformats.org/officeDocument/2006/relationships/hyperlink" Target="https://www.cairn.info/revue-actes-de-la-recherche-en-sciences-sociales-2014-4-page-118.htm" TargetMode="External"/><Relationship Id="rId5" Type="http://schemas.openxmlformats.org/officeDocument/2006/relationships/hyperlink" Target="https://www.conseil-constitutionnel.fr/le-bloc-de-constitutionnalite/texte-integral-de-la-constitution-du-4-octobre-1958-en-vigueur" TargetMode="External"/><Relationship Id="rId4" Type="http://schemas.openxmlformats.org/officeDocument/2006/relationships/hyperlink" Target="https://www.cairn.info/revue-actes-de-la-recherche-en-sciences-sociales-2014-4-page-118.htm" TargetMode="External"/><Relationship Id="rId9" Type="http://schemas.openxmlformats.org/officeDocument/2006/relationships/hyperlink" Target="https://www.cairn.info/revue-actes-de-la-recherche-en-sciences-sociales-2014-4-page-118.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425AC9-CFC2-4703-BF7F-EAB24523BB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451</TotalTime>
  <Pages>7</Pages>
  <Words>2071</Words>
  <Characters>11396</Characters>
  <Application>Microsoft Office Word</Application>
  <DocSecurity>0</DocSecurity>
  <Lines>94</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moussa abakar kori</dc:creator>
  <cp:keywords/>
  <dc:description/>
  <cp:lastModifiedBy>moussa abakar kori</cp:lastModifiedBy>
  <cp:revision>13</cp:revision>
  <dcterms:created xsi:type="dcterms:W3CDTF">2026-10-13T12:02:00Z</dcterms:created>
  <dcterms:modified xsi:type="dcterms:W3CDTF">2026-10-14T12:19:00Z</dcterms:modified>
</cp:coreProperties>
</file>