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İlgili birimlerle koordineli olarak yürütülen çalışmalar tamamlanmıştır.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