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2024-2025 akademik yılı faaliyet raporu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