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Akademik  takvim  kapsamında  gerçekleştirilen  etkinlikler  tamamlanmıştır.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Söz  konusu  belgeler  ekte  sunulmaktadır.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