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Burs Başvurusu Değerlendirmesi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Kampüs içi yemekhane binasının tadilat ihalesi kapsamında alınan teklifler incelenmiş olup en uygun fiyatı sunan firma belirlenmiştir. İhale süreci yürürlükteki kamu ihale mevzuatı çerçevesinde yürütülmüştür.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İnşaat çalışmalarının Eylül 2025 itibarıyla tamamlanması planlanmaktadır. Yapım sözleşmesinin imzalanması için gerekli onayın verilmesini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