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tabs>
          <w:tab w:val="right" w:pos="10206"/>
        </w:tabs>
      </w:pPr>
      <w:r>
        <w:rPr>
          <w:rFonts w:ascii="Times New Roman" w:hAnsi="Times New Roman"/>
          <w:sz w:val="24"/>
        </w:rPr>
        <w:t>Sayı: F.01.2-2025/042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Akademik Performans Raporu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Öğrenciler ve öğretim üyeleri ile birlikte müfredat komisyonu toplantısı gerçekleştirilmiş ve kararlar alınmıştır.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Bu durum değerlendirildiğinde öğrencilerin başarı oranlarının artması beklenmekte olup bölümümüzün söz konusu bu meselesini çözüme kavuşturması yönünde gerekli olan çalışmalar yapılmış bulunmaktadır.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Raporun ve eklerin incelenmesi için gereği saygılarımla birlikte arz etmekle birlikte ilgi ve alaka göstereceklerine olan inancımla takdirlerinize sunmayı uygun bulmaktayım.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