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Bölüm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bölümlerinin 2024-2025 dönemi faaliyet raporu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