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akademik faaliyetleri kapsamında gerçekleştirilen çalışmalar değerlendirilmiştir. söz konusu çalışmaların sonuçları aşağıda özetlenmektedir. gereğini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