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Arial" w:hAnsi="Arial"/>
          <w:b w:val="0"/>
          <w:sz w:val="22"/>
        </w:rPr>
        <w:t>Fakültemiz 2024-2025 akademik yılı faaliyetleri hakkında gerekli bilgiler sunulmaktadır.</w:t>
      </w:r>
    </w:p>
    <w:p>
      <w:pPr>
        <w:jc w:val="both"/>
      </w:pPr>
      <w:r>
        <w:rPr>
          <w:rFonts w:ascii="Arial" w:hAnsi="Arial"/>
          <w:b w:val="0"/>
          <w:sz w:val="22"/>
        </w:rPr>
        <w:t>Söz konusu faaliyetlere ilişkin raporlar ekte yer almaktadır.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EK-1: Faaliyet Raporu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