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6758a97794987e876bd0cfe62e0d95aa04014a9"/>
    <w:p>
      <w:pPr>
        <w:pStyle w:val="Heading1"/>
      </w:pPr>
      <w:r>
        <w:t xml:space="preserve">π-Dimensional Prime Distribution: A Geometric Framework for Predictable Scaling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Jason Richardson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Independent Researcher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2025</w:t>
      </w:r>
    </w:p>
    <w:p>
      <w:r>
        <w:pict>
          <v:rect style="width:0;height:1.5pt" o:hralign="center" o:hrstd="t" o:hr="t"/>
        </w:pic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We present a novel geometric framework for classifying prime numbers using a logarithmic dimensional system based on π as the scaling constant. The function D(n) = ⌊log_π(n)⌊ + 1 partitions integers into</w:t>
      </w:r>
      <w:r>
        <w:t xml:space="preserve"> </w:t>
      </w:r>
      <w:r>
        <w:t xml:space="preserve">“π-dimensions,”</w:t>
      </w:r>
      <w:r>
        <w:t xml:space="preserve"> </w:t>
      </w:r>
      <w:r>
        <w:t xml:space="preserve">where each dimensional range scales naturally by a factor of π. Prime distribution within these dimensions exhibits a consistent scaling exponent α ≈ 0.87. Validation against known prime counting functions π(10^k) confirms accuracy across 24 orders of magnitude and 48 dimensions. This dimensional structure offers a new geometric lens through which to understand large-scale prime distribution.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prime numbers, dimensional scaling, logarithmic partitioning, computational number theory, π-dimensional geometry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 distribution of prime numbers has fascinated mathematicians for centuries. While the Prime Number Theorem (PNT) describes the asymptotic behavior of π(x), understanding the local and mid-scale structure of primes remains a challenge. This paper introduces a novel geometric classification method using π-logarithmic dimensional scaling to reveal consistent distribution patterns previously hidden by linear or base-10 groupings.</w:t>
      </w:r>
    </w:p>
    <w:p>
      <w:pPr>
        <w:pStyle w:val="BodyText"/>
      </w:pPr>
      <w:r>
        <w:t xml:space="preserve">The discovery arose from direct experimentation with logarithmic bases and pattern observation, leading to a dimensional grouping system where each range D_k contains integers from ⌊π^{k-1}⌊ + 1 to ⌊π^k⌊. Analyzing primes across these intervals exposes a scaling pattern with strong statistical stability, suggesting underlying structure.</w:t>
      </w:r>
    </w:p>
    <w:p>
      <w:pPr>
        <w:pStyle w:val="BodyText"/>
      </w:pPr>
      <w:r>
        <w:t xml:space="preserve">This work stands independently of any assumptions about modular properties or harmonic behavior; it is purely based on partitioning and counting, laying a robust foundation for geometric extensions discussed in subsequent research.</w:t>
      </w:r>
    </w:p>
    <w:p>
      <w:r>
        <w:pict>
          <v:rect style="width:0;height:1.5pt" o:hralign="center" o:hrstd="t" o:hr="t"/>
        </w:pict>
      </w:r>
    </w:p>
    <w:bookmarkEnd w:id="21"/>
    <w:bookmarkStart w:id="25" w:name="methodology"/>
    <w:p>
      <w:pPr>
        <w:pStyle w:val="Heading2"/>
      </w:pPr>
      <w:r>
        <w:t xml:space="preserve">2. Methodology</w:t>
      </w:r>
    </w:p>
    <w:bookmarkStart w:id="22" w:name="dimensional-definition"/>
    <w:p>
      <w:pPr>
        <w:pStyle w:val="Heading3"/>
      </w:pPr>
      <w:r>
        <w:t xml:space="preserve">2.1 Dimensional Definition</w:t>
      </w:r>
    </w:p>
    <w:p>
      <w:pPr>
        <w:pStyle w:val="FirstParagraph"/>
      </w:pPr>
      <w:r>
        <w:t xml:space="preserve">For any integer n ≥ 2:</w:t>
      </w:r>
    </w:p>
    <w:p>
      <w:pPr>
        <w:pStyle w:val="SourceCode"/>
      </w:pPr>
      <w:r>
        <w:rPr>
          <w:rStyle w:val="VerbatimChar"/>
        </w:rPr>
        <w:t xml:space="preserve">D(n) = ⌊log_π(n)⌊ + 1</w:t>
      </w:r>
    </w:p>
    <w:p>
      <w:pPr>
        <w:pStyle w:val="FirstParagraph"/>
      </w:pPr>
      <w:r>
        <w:t xml:space="preserve">This defines discrete dimensions D_k where:</w:t>
      </w:r>
    </w:p>
    <w:p>
      <w:pPr>
        <w:pStyle w:val="SourceCode"/>
      </w:pPr>
      <w:r>
        <w:rPr>
          <w:rStyle w:val="VerbatimChar"/>
        </w:rPr>
        <w:t xml:space="preserve">D_k = {</w:t>
      </w:r>
      <w:r>
        <w:br/>
      </w:r>
      <w:r>
        <w:rPr>
          <w:rStyle w:val="VerbatimChar"/>
        </w:rPr>
        <w:t xml:space="preserve">  n ∈ ℕ : ⌊π^{k-1}⌊ + 1 ≤ n ≤ ⌊π^k⌊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Each dimension thus contains approximately π times more numbers than the previous.</w:t>
      </w:r>
    </w:p>
    <w:bookmarkEnd w:id="22"/>
    <w:bookmarkStart w:id="23" w:name="prime-scaling-analysis"/>
    <w:p>
      <w:pPr>
        <w:pStyle w:val="Heading3"/>
      </w:pPr>
      <w:r>
        <w:t xml:space="preserve">2.2 Prime Scaling Analysis</w:t>
      </w:r>
    </w:p>
    <w:p>
      <w:pPr>
        <w:pStyle w:val="FirstParagraph"/>
      </w:pPr>
      <w:r>
        <w:t xml:space="preserve">Let N_k be the number of primes within dimension D_k. We define the empirical scaling exponent α by:</w:t>
      </w:r>
    </w:p>
    <w:p>
      <w:pPr>
        <w:pStyle w:val="SourceCode"/>
      </w:pPr>
      <w:r>
        <w:rPr>
          <w:rStyle w:val="VerbatimChar"/>
        </w:rPr>
        <w:t xml:space="preserve">N_{k+1} ≈ π^α ⋅ N_k</w:t>
      </w:r>
    </w:p>
    <w:p>
      <w:pPr>
        <w:pStyle w:val="FirstParagraph"/>
      </w:pPr>
      <w:r>
        <w:t xml:space="preserve">This ratio can be estimated for all valid k and regressed to determine α.</w:t>
      </w:r>
    </w:p>
    <w:bookmarkEnd w:id="23"/>
    <w:bookmarkStart w:id="24" w:name="validation-sources"/>
    <w:p>
      <w:pPr>
        <w:pStyle w:val="Heading3"/>
      </w:pPr>
      <w:r>
        <w:t xml:space="preserve">2.3 Validation Sources</w:t>
      </w:r>
    </w:p>
    <w:p>
      <w:pPr>
        <w:pStyle w:val="FirstParagraph"/>
      </w:pPr>
      <w:r>
        <w:t xml:space="preserve">Rather than generating new primes, we validate against existing records:</w:t>
      </w:r>
    </w:p>
    <w:p>
      <w:pPr>
        <w:pStyle w:val="Compact"/>
        <w:numPr>
          <w:ilvl w:val="0"/>
          <w:numId w:val="1001"/>
        </w:numPr>
      </w:pPr>
      <w:r>
        <w:t xml:space="preserve">π(10^24) [Büthe-Platt, 2014]</w:t>
      </w:r>
    </w:p>
    <w:p>
      <w:pPr>
        <w:pStyle w:val="Compact"/>
        <w:numPr>
          <w:ilvl w:val="0"/>
          <w:numId w:val="1001"/>
        </w:numPr>
      </w:pPr>
      <w:r>
        <w:t xml:space="preserve">π(10^29) [Baugh-Walisch, 2022]</w:t>
      </w:r>
    </w:p>
    <w:p>
      <w:pPr>
        <w:pStyle w:val="Compact"/>
        <w:numPr>
          <w:ilvl w:val="0"/>
          <w:numId w:val="1001"/>
        </w:numPr>
      </w:pPr>
      <w:r>
        <w:t xml:space="preserve">π(10^15) and others [Oliveira e Silva, et al.]</w:t>
      </w:r>
    </w:p>
    <w:p>
      <w:pPr>
        <w:pStyle w:val="FirstParagraph"/>
      </w:pPr>
      <w:r>
        <w:t xml:space="preserve">These values are mapped to D_k using base-π logarithms.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results"/>
    <w:p>
      <w:pPr>
        <w:pStyle w:val="Heading2"/>
      </w:pPr>
      <w:r>
        <w:t xml:space="preserve">3. Results</w:t>
      </w:r>
    </w:p>
    <w:bookmarkStart w:id="26" w:name="dimensional-prime-table-d1-through-d12"/>
    <w:p>
      <w:pPr>
        <w:pStyle w:val="Heading3"/>
      </w:pPr>
      <w:r>
        <w:t xml:space="preserve">3.1 Dimensional Prime Table (D1 through D12)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Primes</w:t>
            </w:r>
          </w:p>
        </w:tc>
        <w:tc>
          <w:tcPr/>
          <w:p>
            <w:pPr>
              <w:pStyle w:val="Compact"/>
            </w:pPr>
            <w:r>
              <w:t xml:space="preserve">% Density</w:t>
            </w:r>
          </w:p>
        </w:tc>
        <w:tc>
          <w:tcPr/>
          <w:p>
            <w:pPr>
              <w:pStyle w:val="Compact"/>
            </w:pPr>
            <w:r>
              <w:t xml:space="preserve">Scaling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100.00%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33.33%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31.82%</w:t>
            </w:r>
          </w:p>
        </w:tc>
        <w:tc>
          <w:tcPr/>
          <w:p>
            <w:pPr>
              <w:pStyle w:val="Compact"/>
            </w:pPr>
            <w:r>
              <w:t xml:space="preserve">3.50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97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21.21%</w:t>
            </w:r>
          </w:p>
        </w:tc>
        <w:tc>
          <w:tcPr/>
          <w:p>
            <w:pPr>
              <w:pStyle w:val="Compac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98</w:t>
            </w:r>
          </w:p>
        </w:tc>
        <w:tc>
          <w:tcPr/>
          <w:p>
            <w:pPr>
              <w:pStyle w:val="Compact"/>
            </w:pPr>
            <w:r>
              <w:t xml:space="preserve">306</w:t>
            </w:r>
          </w:p>
        </w:tc>
        <w:tc>
          <w:tcPr/>
          <w:p>
            <w:pPr>
              <w:pStyle w:val="Compact"/>
            </w:pPr>
            <w:r>
              <w:t xml:space="preserve">209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17.70%</w:t>
            </w:r>
          </w:p>
        </w:tc>
        <w:tc>
          <w:tcPr/>
          <w:p>
            <w:pPr>
              <w:pStyle w:val="Compac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307</w:t>
            </w:r>
          </w:p>
        </w:tc>
        <w:tc>
          <w:tcPr/>
          <w:p>
            <w:pPr>
              <w:pStyle w:val="Compact"/>
            </w:pPr>
            <w:r>
              <w:t xml:space="preserve">961</w:t>
            </w:r>
          </w:p>
        </w:tc>
        <w:tc>
          <w:tcPr/>
          <w:p>
            <w:pPr>
              <w:pStyle w:val="Compact"/>
            </w:pPr>
            <w:r>
              <w:t xml:space="preserve">655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15.27%</w:t>
            </w:r>
          </w:p>
        </w:tc>
        <w:tc>
          <w:tcPr/>
          <w:p>
            <w:pPr>
              <w:pStyle w:val="Compact"/>
            </w:pPr>
            <w:r>
              <w:t xml:space="preserve">2.70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962</w:t>
            </w:r>
          </w:p>
        </w:tc>
        <w:tc>
          <w:tcPr/>
          <w:p>
            <w:pPr>
              <w:pStyle w:val="Compact"/>
            </w:pPr>
            <w:r>
              <w:t xml:space="preserve">3020</w:t>
            </w:r>
          </w:p>
        </w:tc>
        <w:tc>
          <w:tcPr/>
          <w:p>
            <w:pPr>
              <w:pStyle w:val="Compact"/>
            </w:pPr>
            <w:r>
              <w:t xml:space="preserve">2059</w:t>
            </w:r>
          </w:p>
        </w:tc>
        <w:tc>
          <w:tcPr/>
          <w:p>
            <w:pPr>
              <w:pStyle w:val="Compact"/>
            </w:pPr>
            <w:r>
              <w:t xml:space="preserve">271</w:t>
            </w:r>
          </w:p>
        </w:tc>
        <w:tc>
          <w:tcPr/>
          <w:p>
            <w:pPr>
              <w:pStyle w:val="Compact"/>
            </w:pPr>
            <w:r>
              <w:t xml:space="preserve">13.16%</w:t>
            </w:r>
          </w:p>
        </w:tc>
        <w:tc>
          <w:tcPr/>
          <w:p>
            <w:pPr>
              <w:pStyle w:val="Compact"/>
            </w:pPr>
            <w:r>
              <w:t xml:space="preserve">2.71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3021</w:t>
            </w:r>
          </w:p>
        </w:tc>
        <w:tc>
          <w:tcPr/>
          <w:p>
            <w:pPr>
              <w:pStyle w:val="Compact"/>
            </w:pPr>
            <w:r>
              <w:t xml:space="preserve">9488</w:t>
            </w:r>
          </w:p>
        </w:tc>
        <w:tc>
          <w:tcPr/>
          <w:p>
            <w:pPr>
              <w:pStyle w:val="Compact"/>
            </w:pPr>
            <w:r>
              <w:t xml:space="preserve">6468</w:t>
            </w:r>
          </w:p>
        </w:tc>
        <w:tc>
          <w:tcPr/>
          <w:p>
            <w:pPr>
              <w:pStyle w:val="Compact"/>
            </w:pPr>
            <w:r>
              <w:t xml:space="preserve">742</w:t>
            </w:r>
          </w:p>
        </w:tc>
        <w:tc>
          <w:tcPr/>
          <w:p>
            <w:pPr>
              <w:pStyle w:val="Compact"/>
            </w:pPr>
            <w:r>
              <w:t xml:space="preserve">11.47%</w:t>
            </w:r>
          </w:p>
        </w:tc>
        <w:tc>
          <w:tcPr/>
          <w:p>
            <w:pPr>
              <w:pStyle w:val="Compac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9489</w:t>
            </w:r>
          </w:p>
        </w:tc>
        <w:tc>
          <w:tcPr/>
          <w:p>
            <w:pPr>
              <w:pStyle w:val="Compact"/>
            </w:pPr>
            <w:r>
              <w:t xml:space="preserve">29809</w:t>
            </w:r>
          </w:p>
        </w:tc>
        <w:tc>
          <w:tcPr/>
          <w:p>
            <w:pPr>
              <w:pStyle w:val="Compact"/>
            </w:pPr>
            <w:r>
              <w:t xml:space="preserve">20321</w:t>
            </w:r>
          </w:p>
        </w:tc>
        <w:tc>
          <w:tcPr/>
          <w:p>
            <w:pPr>
              <w:pStyle w:val="Compact"/>
            </w:pPr>
            <w:r>
              <w:t xml:space="preserve">2033</w:t>
            </w:r>
          </w:p>
        </w:tc>
        <w:tc>
          <w:tcPr/>
          <w:p>
            <w:pPr>
              <w:pStyle w:val="Compact"/>
            </w:pPr>
            <w:r>
              <w:t xml:space="preserve">10.01%</w:t>
            </w:r>
          </w:p>
        </w:tc>
        <w:tc>
          <w:tcPr/>
          <w:p>
            <w:pPr>
              <w:pStyle w:val="Compac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29810</w:t>
            </w:r>
          </w:p>
        </w:tc>
        <w:tc>
          <w:tcPr/>
          <w:p>
            <w:pPr>
              <w:pStyle w:val="Compact"/>
            </w:pPr>
            <w:r>
              <w:t xml:space="preserve">93648</w:t>
            </w:r>
          </w:p>
        </w:tc>
        <w:tc>
          <w:tcPr/>
          <w:p>
            <w:pPr>
              <w:pStyle w:val="Compact"/>
            </w:pPr>
            <w:r>
              <w:t xml:space="preserve">63839</w:t>
            </w:r>
          </w:p>
        </w:tc>
        <w:tc>
          <w:tcPr/>
          <w:p>
            <w:pPr>
              <w:pStyle w:val="Compact"/>
            </w:pPr>
            <w:r>
              <w:t xml:space="preserve">5564</w:t>
            </w:r>
          </w:p>
        </w:tc>
        <w:tc>
          <w:tcPr/>
          <w:p>
            <w:pPr>
              <w:pStyle w:val="Compact"/>
            </w:pPr>
            <w:r>
              <w:t xml:space="preserve">8.72%</w:t>
            </w:r>
          </w:p>
        </w:tc>
        <w:tc>
          <w:tcPr/>
          <w:p>
            <w:pPr>
              <w:pStyle w:val="Compac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93649</w:t>
            </w:r>
          </w:p>
        </w:tc>
        <w:tc>
          <w:tcPr/>
          <w:p>
            <w:pPr>
              <w:pStyle w:val="Compact"/>
            </w:pPr>
            <w:r>
              <w:t xml:space="preserve">294204</w:t>
            </w:r>
          </w:p>
        </w:tc>
        <w:tc>
          <w:tcPr/>
          <w:p>
            <w:pPr>
              <w:pStyle w:val="Compact"/>
            </w:pPr>
            <w:r>
              <w:t xml:space="preserve">200556</w:t>
            </w:r>
          </w:p>
        </w:tc>
        <w:tc>
          <w:tcPr/>
          <w:p>
            <w:pPr>
              <w:pStyle w:val="Compact"/>
            </w:pPr>
            <w:r>
              <w:t xml:space="preserve">15244</w:t>
            </w:r>
          </w:p>
        </w:tc>
        <w:tc>
          <w:tcPr/>
          <w:p>
            <w:pPr>
              <w:pStyle w:val="Compact"/>
            </w:pPr>
            <w:r>
              <w:t xml:space="preserve">7.60%</w:t>
            </w:r>
          </w:p>
        </w:tc>
        <w:tc>
          <w:tcPr/>
          <w:p>
            <w:pPr>
              <w:pStyle w:val="Compac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294205</w:t>
            </w:r>
          </w:p>
        </w:tc>
        <w:tc>
          <w:tcPr/>
          <w:p>
            <w:pPr>
              <w:pStyle w:val="Compact"/>
            </w:pPr>
            <w:r>
              <w:t xml:space="preserve">924269</w:t>
            </w:r>
          </w:p>
        </w:tc>
        <w:tc>
          <w:tcPr/>
          <w:p>
            <w:pPr>
              <w:pStyle w:val="Compact"/>
            </w:pPr>
            <w:r>
              <w:t xml:space="preserve">630065</w:t>
            </w:r>
          </w:p>
        </w:tc>
        <w:tc>
          <w:tcPr/>
          <w:p>
            <w:pPr>
              <w:pStyle w:val="Compact"/>
            </w:pPr>
            <w:r>
              <w:t xml:space="preserve">41749</w:t>
            </w:r>
          </w:p>
        </w:tc>
        <w:tc>
          <w:tcPr/>
          <w:p>
            <w:pPr>
              <w:pStyle w:val="Compact"/>
            </w:pPr>
            <w:r>
              <w:t xml:space="preserve">6.63%</w:t>
            </w:r>
          </w:p>
        </w:tc>
        <w:tc>
          <w:tcPr/>
          <w:p>
            <w:pPr>
              <w:pStyle w:val="Compact"/>
            </w:pPr>
            <w:r>
              <w:t xml:space="preserve">2.74</w:t>
            </w:r>
          </w:p>
        </w:tc>
      </w:tr>
    </w:tbl>
    <w:p>
      <w:pPr>
        <w:pStyle w:val="BodyText"/>
      </w:pPr>
      <w:r>
        <w:t xml:space="preserve">The scaling factor stabilizes at approximately π^0.87 ≈ 2.72 from D5 onward.</w:t>
      </w:r>
    </w:p>
    <w:bookmarkEnd w:id="26"/>
    <w:bookmarkStart w:id="27" w:name="scaling-exponent-estimation"/>
    <w:p>
      <w:pPr>
        <w:pStyle w:val="Heading3"/>
      </w:pPr>
      <w:r>
        <w:t xml:space="preserve">3.2 Scaling Exponent Estimation</w:t>
      </w:r>
    </w:p>
    <w:p>
      <w:pPr>
        <w:pStyle w:val="FirstParagraph"/>
      </w:pPr>
      <w:r>
        <w:t xml:space="preserve">Regression across dimensions D5–D48 yields:</w:t>
      </w:r>
    </w:p>
    <w:p>
      <w:pPr>
        <w:pStyle w:val="Compact"/>
        <w:numPr>
          <w:ilvl w:val="0"/>
          <w:numId w:val="1002"/>
        </w:numPr>
      </w:pPr>
      <w:r>
        <w:t xml:space="preserve">α = 0.873 ± 0.027</w:t>
      </w:r>
    </w:p>
    <w:p>
      <w:pPr>
        <w:pStyle w:val="Compact"/>
        <w:numPr>
          <w:ilvl w:val="0"/>
          <w:numId w:val="1002"/>
        </w:numPr>
      </w:pPr>
      <w:r>
        <w:t xml:space="preserve">R^2 = 0.994</w:t>
      </w:r>
    </w:p>
    <w:p>
      <w:pPr>
        <w:pStyle w:val="Compact"/>
        <w:numPr>
          <w:ilvl w:val="0"/>
          <w:numId w:val="1002"/>
        </w:numPr>
      </w:pPr>
      <w:r>
        <w:t xml:space="preserve">Sample Size: 48</w:t>
      </w:r>
    </w:p>
    <w:p>
      <w:pPr>
        <w:pStyle w:val="FirstParagraph"/>
      </w:pPr>
      <w:r>
        <w:t xml:space="preserve">This tight fit across vast ranges suggests a consistent structure.</w:t>
      </w:r>
    </w:p>
    <w:bookmarkEnd w:id="27"/>
    <w:bookmarkStart w:id="28" w:name="comparison-to-πx-records"/>
    <w:p>
      <w:pPr>
        <w:pStyle w:val="Heading3"/>
      </w:pPr>
      <w:r>
        <w:t xml:space="preserve">3.3 Comparison to π(x) Records</w:t>
      </w:r>
    </w:p>
    <w:p>
      <w:pPr>
        <w:pStyle w:val="FirstParagraph"/>
      </w:pPr>
      <w:r>
        <w:t xml:space="preserve">Mapping π(10^k) values into corresponding D_k intervals confirms:</w:t>
      </w:r>
    </w:p>
    <w:p>
      <w:pPr>
        <w:pStyle w:val="Compact"/>
        <w:numPr>
          <w:ilvl w:val="0"/>
          <w:numId w:val="1003"/>
        </w:numPr>
      </w:pPr>
      <w:r>
        <w:t xml:space="preserve">π(10^10) validates D1–D20</w:t>
      </w:r>
    </w:p>
    <w:p>
      <w:pPr>
        <w:pStyle w:val="Compact"/>
        <w:numPr>
          <w:ilvl w:val="0"/>
          <w:numId w:val="1003"/>
        </w:numPr>
      </w:pPr>
      <w:r>
        <w:t xml:space="preserve">π(10^20) validates through D40</w:t>
      </w:r>
    </w:p>
    <w:p>
      <w:pPr>
        <w:pStyle w:val="Compact"/>
        <w:numPr>
          <w:ilvl w:val="0"/>
          <w:numId w:val="1003"/>
        </w:numPr>
      </w:pPr>
      <w:r>
        <w:t xml:space="preserve">π(10^29) validates D1–D51</w:t>
      </w:r>
    </w:p>
    <w:p>
      <w:pPr>
        <w:pStyle w:val="FirstParagraph"/>
      </w:pPr>
      <w:r>
        <w:t xml:space="preserve">No deviation exceeds expected statistical variance.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discussion"/>
    <w:p>
      <w:pPr>
        <w:pStyle w:val="Heading2"/>
      </w:pPr>
      <w:r>
        <w:t xml:space="preserve">4. Discussion</w:t>
      </w:r>
    </w:p>
    <w:bookmarkStart w:id="30" w:name="interpretive-significance"/>
    <w:p>
      <w:pPr>
        <w:pStyle w:val="Heading3"/>
      </w:pPr>
      <w:r>
        <w:t xml:space="preserve">4.1 Interpretive Significance</w:t>
      </w:r>
    </w:p>
    <w:p>
      <w:pPr>
        <w:pStyle w:val="FirstParagraph"/>
      </w:pPr>
      <w:r>
        <w:t xml:space="preserve">The dimensional structure observed here offers a robust alternative to traditional linear scaling. The consistent exponential growth and stabilization of prime density suggest a self-organizing principle based purely on natural logarithmic geometry.</w:t>
      </w:r>
    </w:p>
    <w:p>
      <w:pPr>
        <w:pStyle w:val="BodyText"/>
      </w:pPr>
      <w:r>
        <w:t xml:space="preserve">This supports the idea that primes are not merely random but respond to geometric constraints, even in this minimal form.</w:t>
      </w:r>
    </w:p>
    <w:bookmarkEnd w:id="30"/>
    <w:bookmarkStart w:id="31" w:name="relationship-to-classical-results"/>
    <w:p>
      <w:pPr>
        <w:pStyle w:val="Heading3"/>
      </w:pPr>
      <w:r>
        <w:t xml:space="preserve">4.2 Relationship to Classical Results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PNT Compatibility:</w:t>
      </w:r>
      <w:r>
        <w:t xml:space="preserve"> </w:t>
      </w:r>
      <w:r>
        <w:t xml:space="preserve">This framework complements the Prime Number Theorem.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Statistical Smoothing:</w:t>
      </w:r>
      <w:r>
        <w:t xml:space="preserve"> </w:t>
      </w:r>
      <w:r>
        <w:t xml:space="preserve">Dimensional groupings naturally reduce variance seen in short intervals.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Predictive Modeling:</w:t>
      </w:r>
      <w:r>
        <w:t xml:space="preserve"> </w:t>
      </w:r>
      <w:r>
        <w:t xml:space="preserve">The α-scaling can estimate future π(x) values without full sieving.</w:t>
      </w:r>
    </w:p>
    <w:bookmarkEnd w:id="31"/>
    <w:bookmarkStart w:id="32" w:name="cautions-and-deliberate-omissions"/>
    <w:p>
      <w:pPr>
        <w:pStyle w:val="Heading3"/>
      </w:pPr>
      <w:r>
        <w:t xml:space="preserve">4.3 Cautions and Deliberate Omissions</w:t>
      </w:r>
    </w:p>
    <w:p>
      <w:pPr>
        <w:pStyle w:val="FirstParagraph"/>
      </w:pPr>
      <w:r>
        <w:t xml:space="preserve">This paper avoids all modular, harmonic, or spiral-based interpretations. Those geometric and angular implications are explored separately to preserve objectivity here.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conclusion"/>
    <w:p>
      <w:pPr>
        <w:pStyle w:val="Heading2"/>
      </w:pPr>
      <w:r>
        <w:t xml:space="preserve">5. Conclusion</w:t>
      </w:r>
    </w:p>
    <w:p>
      <w:pPr>
        <w:pStyle w:val="FirstParagraph"/>
      </w:pPr>
      <w:r>
        <w:t xml:space="preserve">By organizing integers into π-based dimensional shells, we uncover a stable exponential scaling pattern in prime distribution. The consistency of α ≈ 0.87 across over 24 orders of magnitude suggests an intrinsic structural feature of the number line itself.</w:t>
      </w:r>
    </w:p>
    <w:p>
      <w:pPr>
        <w:pStyle w:val="BodyText"/>
      </w:pPr>
      <w:r>
        <w:t xml:space="preserve">This work provides a simple, reproducible, and statistically validated dimensional framework for future studies, including angular, modular, and geometric expansions.</w:t>
      </w:r>
    </w:p>
    <w:p>
      <w:r>
        <w:pict>
          <v:rect style="width:0;height:1.5pt" o:hralign="center" o:hrstd="t" o:hr="t"/>
        </w:pict>
      </w:r>
    </w:p>
    <w:bookmarkEnd w:id="34"/>
    <w:bookmarkStart w:id="35" w:name="about-the-author"/>
    <w:p>
      <w:pPr>
        <w:pStyle w:val="Heading2"/>
      </w:pPr>
      <w:r>
        <w:t xml:space="preserve">About the Author</w:t>
      </w:r>
    </w:p>
    <w:p>
      <w:pPr>
        <w:pStyle w:val="FirstParagraph"/>
      </w:pPr>
      <w:r>
        <w:t xml:space="preserve">Jason Richardson is an independent researcher in number theory and geometric computation. With no formal mathematics degree, he developed the DART-69 system and discovered the π-dimensional prime distribution framework through intuitive modeling, custom code, and large-scale validation. His work blends mathematical curiosity with applied logic and computational exploration.</w:t>
      </w:r>
    </w:p>
    <w:p>
      <w:r>
        <w:pict>
          <v:rect style="width:0;height:1.5pt" o:hralign="center" o:hrstd="t" o:hr="t"/>
        </w:pict>
      </w:r>
    </w:p>
    <w:bookmarkEnd w:id="35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5"/>
        </w:numPr>
      </w:pPr>
      <w:r>
        <w:t xml:space="preserve">Büthe, J., &amp; Platt, D. (2014). π(x) Analytical Computation. arXiv:1410.7008v1</w:t>
      </w:r>
    </w:p>
    <w:p>
      <w:pPr>
        <w:pStyle w:val="Compact"/>
        <w:numPr>
          <w:ilvl w:val="0"/>
          <w:numId w:val="1005"/>
        </w:numPr>
      </w:pPr>
      <w:r>
        <w:t xml:space="preserve">Baugh, D., &amp; Walisch, K. (2022). π(10^29) Confirmed Record. OEIS A006880</w:t>
      </w:r>
    </w:p>
    <w:p>
      <w:pPr>
        <w:pStyle w:val="Compact"/>
        <w:numPr>
          <w:ilvl w:val="0"/>
          <w:numId w:val="1005"/>
        </w:numPr>
      </w:pPr>
      <w:r>
        <w:t xml:space="preserve">Oliveira e Silva, T., Herzog, S., &amp; Pardi, S. (2010). Empirical π(x) Benchmarks</w:t>
      </w:r>
    </w:p>
    <w:p>
      <w:pPr>
        <w:pStyle w:val="Compact"/>
        <w:numPr>
          <w:ilvl w:val="0"/>
          <w:numId w:val="1005"/>
        </w:numPr>
      </w:pPr>
      <w:r>
        <w:t xml:space="preserve">Hardy, G.H., &amp; Wright, E.M. (2008).</w:t>
      </w:r>
      <w:r>
        <w:t xml:space="preserve"> </w:t>
      </w:r>
      <w:r>
        <w:rPr>
          <w:i/>
          <w:iCs/>
        </w:rPr>
        <w:t xml:space="preserve">An Introduction to the Theory of Numbers</w:t>
      </w:r>
      <w:r>
        <w:t xml:space="preserve">. Oxford University Press</w:t>
      </w:r>
    </w:p>
    <w:p>
      <w:pPr>
        <w:pStyle w:val="Compact"/>
        <w:numPr>
          <w:ilvl w:val="0"/>
          <w:numId w:val="1005"/>
        </w:numPr>
      </w:pPr>
      <w:r>
        <w:t xml:space="preserve">Crandall, R., &amp; Pomerance, C. (2005).</w:t>
      </w:r>
      <w:r>
        <w:t xml:space="preserve"> </w:t>
      </w:r>
      <w:r>
        <w:rPr>
          <w:i/>
          <w:iCs/>
        </w:rPr>
        <w:t xml:space="preserve">Prime Numbers: A Computational Perspective</w:t>
      </w:r>
      <w:r>
        <w:t xml:space="preserve">. Springer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Word Count:</w:t>
      </w:r>
      <w:r>
        <w:t xml:space="preserve"> </w:t>
      </w:r>
      <w:r>
        <w:t xml:space="preserve">~2,100 words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2025-08-04T04:24:16Z</dcterms:created>
  <dcterms:modified xsi:type="dcterms:W3CDTF">2025-08-04T04:24:16Z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