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434ED">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434ED">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434ED">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434ED">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2434ED">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434ED">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434ED">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434ED">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2434ED">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434ED">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434ED">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434ED">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086447"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086448"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3086449"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086450"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086451"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086452"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086453"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086454"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086455"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086456"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086457"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086458"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086459"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086460"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086461"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086462"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086463"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086464"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086465"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086466"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086467"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086468"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086469"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086470"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086471"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086472"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086473"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086474"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086475"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086476"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086477"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086478"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086479"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086480"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086481"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086482"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086483"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086484"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086485"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086486"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086487"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086488"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086489"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086490"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086491"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086492"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086493"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086494"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086495"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086496"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3086497"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086498"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086499"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086500"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086501"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086502"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086503"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086504"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086505"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086506"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086507"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086508"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086509" r:id="rId130"/>
        </w:object>
      </w:r>
    </w:p>
    <w:p w:rsidR="00B45248" w:rsidRPr="009D1628" w:rsidRDefault="009D1628" w:rsidP="00B45248">
      <w:pPr>
        <w:spacing w:line="360" w:lineRule="auto"/>
        <w:jc w:val="left"/>
        <w:outlineLvl w:val="0"/>
        <w:rPr>
          <w:sz w:val="24"/>
          <w:szCs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086510"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086511"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086512"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086513" r:id="rId138"/>
        </w:object>
      </w:r>
      <w:r>
        <w:rPr>
          <w:rFonts w:hint="eastAsia"/>
          <w:sz w:val="24"/>
        </w:rPr>
        <w:t>为采样周期。</w:t>
      </w:r>
      <w:r w:rsidR="00FB1C49">
        <w:rPr>
          <w:rFonts w:hint="eastAsia"/>
          <w:sz w:val="24"/>
        </w:rPr>
        <w:t>实际提取中常使用峰值检测的方法获取共振峰频率</w:t>
      </w:r>
      <w:r w:rsidR="00EA6667">
        <w:rPr>
          <w:rFonts w:hint="eastAsia"/>
          <w:sz w:val="24"/>
        </w:rPr>
        <w:t>。</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rFonts w:hint="eastAsia"/>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w:t>
      </w:r>
      <w:r w:rsidR="00DB1149">
        <w:rPr>
          <w:rFonts w:hint="eastAsia"/>
          <w:sz w:val="24"/>
          <w:szCs w:val="24"/>
        </w:rPr>
        <w:t>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630CC1">
        <w:rPr>
          <w:rFonts w:hint="eastAsia"/>
          <w:sz w:val="24"/>
          <w:szCs w:val="24"/>
        </w:rPr>
        <w:t>谱对比增强的思想是在基本降噪处理的基础上，对型号频谱进行处理，提高频谱对比度。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，谱对比增强可以提高噪声环境下语音信号的可懂度</w:t>
      </w:r>
      <w:r w:rsidR="008B4202">
        <w:rPr>
          <w:rFonts w:hint="eastAsia"/>
          <w:sz w:val="24"/>
          <w:szCs w:val="24"/>
        </w:rPr>
        <w:t>。</w:t>
      </w:r>
      <w:bookmarkStart w:id="11" w:name="_GoBack"/>
      <w:bookmarkEnd w:id="11"/>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4ED" w:rsidRDefault="002434ED" w:rsidP="003E628E">
      <w:r>
        <w:separator/>
      </w:r>
    </w:p>
  </w:endnote>
  <w:endnote w:type="continuationSeparator" w:id="0">
    <w:p w:rsidR="002434ED" w:rsidRDefault="002434ED"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4ED" w:rsidRDefault="002434ED" w:rsidP="003E628E">
      <w:r>
        <w:separator/>
      </w:r>
    </w:p>
  </w:footnote>
  <w:footnote w:type="continuationSeparator" w:id="0">
    <w:p w:rsidR="002434ED" w:rsidRDefault="002434ED"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4"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9"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5"/>
  </w:num>
  <w:num w:numId="2">
    <w:abstractNumId w:val="33"/>
  </w:num>
  <w:num w:numId="3">
    <w:abstractNumId w:val="17"/>
  </w:num>
  <w:num w:numId="4">
    <w:abstractNumId w:val="3"/>
  </w:num>
  <w:num w:numId="5">
    <w:abstractNumId w:val="14"/>
  </w:num>
  <w:num w:numId="6">
    <w:abstractNumId w:val="4"/>
  </w:num>
  <w:num w:numId="7">
    <w:abstractNumId w:val="0"/>
  </w:num>
  <w:num w:numId="8">
    <w:abstractNumId w:val="8"/>
  </w:num>
  <w:num w:numId="9">
    <w:abstractNumId w:val="12"/>
  </w:num>
  <w:num w:numId="10">
    <w:abstractNumId w:val="29"/>
  </w:num>
  <w:num w:numId="11">
    <w:abstractNumId w:val="34"/>
  </w:num>
  <w:num w:numId="12">
    <w:abstractNumId w:val="23"/>
  </w:num>
  <w:num w:numId="13">
    <w:abstractNumId w:val="21"/>
  </w:num>
  <w:num w:numId="14">
    <w:abstractNumId w:val="26"/>
  </w:num>
  <w:num w:numId="15">
    <w:abstractNumId w:val="30"/>
  </w:num>
  <w:num w:numId="16">
    <w:abstractNumId w:val="18"/>
  </w:num>
  <w:num w:numId="17">
    <w:abstractNumId w:val="36"/>
  </w:num>
  <w:num w:numId="18">
    <w:abstractNumId w:val="9"/>
  </w:num>
  <w:num w:numId="19">
    <w:abstractNumId w:val="35"/>
  </w:num>
  <w:num w:numId="20">
    <w:abstractNumId w:val="20"/>
  </w:num>
  <w:num w:numId="21">
    <w:abstractNumId w:val="32"/>
  </w:num>
  <w:num w:numId="22">
    <w:abstractNumId w:val="10"/>
  </w:num>
  <w:num w:numId="23">
    <w:abstractNumId w:val="13"/>
  </w:num>
  <w:num w:numId="24">
    <w:abstractNumId w:val="5"/>
  </w:num>
  <w:num w:numId="25">
    <w:abstractNumId w:val="24"/>
  </w:num>
  <w:num w:numId="26">
    <w:abstractNumId w:val="27"/>
  </w:num>
  <w:num w:numId="27">
    <w:abstractNumId w:val="15"/>
  </w:num>
  <w:num w:numId="28">
    <w:abstractNumId w:val="22"/>
  </w:num>
  <w:num w:numId="29">
    <w:abstractNumId w:val="16"/>
  </w:num>
  <w:num w:numId="30">
    <w:abstractNumId w:val="2"/>
  </w:num>
  <w:num w:numId="31">
    <w:abstractNumId w:val="28"/>
  </w:num>
  <w:num w:numId="32">
    <w:abstractNumId w:val="19"/>
  </w:num>
  <w:num w:numId="33">
    <w:abstractNumId w:val="31"/>
  </w:num>
  <w:num w:numId="34">
    <w:abstractNumId w:val="6"/>
  </w:num>
  <w:num w:numId="35">
    <w:abstractNumId w:val="7"/>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5D1B"/>
    <w:rsid w:val="002036E0"/>
    <w:rsid w:val="00211382"/>
    <w:rsid w:val="002131C9"/>
    <w:rsid w:val="00215247"/>
    <w:rsid w:val="00217F7A"/>
    <w:rsid w:val="002304FE"/>
    <w:rsid w:val="00242ACA"/>
    <w:rsid w:val="002434ED"/>
    <w:rsid w:val="00243A3E"/>
    <w:rsid w:val="00253C83"/>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756E2"/>
    <w:rsid w:val="005765A9"/>
    <w:rsid w:val="00577BED"/>
    <w:rsid w:val="00585670"/>
    <w:rsid w:val="00585FB9"/>
    <w:rsid w:val="00587F19"/>
    <w:rsid w:val="00592F8D"/>
    <w:rsid w:val="00595278"/>
    <w:rsid w:val="00595744"/>
    <w:rsid w:val="005A0C10"/>
    <w:rsid w:val="005A1240"/>
    <w:rsid w:val="005A1D6F"/>
    <w:rsid w:val="005A6BF6"/>
    <w:rsid w:val="005B00FD"/>
    <w:rsid w:val="005B2368"/>
    <w:rsid w:val="005B3855"/>
    <w:rsid w:val="005B6357"/>
    <w:rsid w:val="005C375F"/>
    <w:rsid w:val="005C7DBF"/>
    <w:rsid w:val="005D461A"/>
    <w:rsid w:val="005D6B02"/>
    <w:rsid w:val="005E30FF"/>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278D4"/>
    <w:rsid w:val="007306F8"/>
    <w:rsid w:val="0073450B"/>
    <w:rsid w:val="00737D15"/>
    <w:rsid w:val="007406F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30737"/>
    <w:rsid w:val="00B32608"/>
    <w:rsid w:val="00B45248"/>
    <w:rsid w:val="00B46695"/>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624D"/>
    <w:rsid w:val="00ED5881"/>
    <w:rsid w:val="00ED614F"/>
    <w:rsid w:val="00EE1306"/>
    <w:rsid w:val="00EE7680"/>
    <w:rsid w:val="00EF1F23"/>
    <w:rsid w:val="00EF69A0"/>
    <w:rsid w:val="00F041C7"/>
    <w:rsid w:val="00F07BCC"/>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2.bin"/><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113" Type="http://schemas.openxmlformats.org/officeDocument/2006/relationships/oleObject" Target="embeddings/oleObject43.bin"/><Relationship Id="rId118" Type="http://schemas.openxmlformats.org/officeDocument/2006/relationships/image" Target="media/image55.wmf"/><Relationship Id="rId134" Type="http://schemas.openxmlformats.org/officeDocument/2006/relationships/oleObject" Target="embeddings/oleObject55.bin"/><Relationship Id="rId139" Type="http://schemas.openxmlformats.org/officeDocument/2006/relationships/fontTable" Target="fontTable.xml"/><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234042816"/>
        <c:axId val="1421631328"/>
      </c:scatterChart>
      <c:valAx>
        <c:axId val="123404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1631328"/>
        <c:crosses val="autoZero"/>
        <c:crossBetween val="midCat"/>
      </c:valAx>
      <c:valAx>
        <c:axId val="1421631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40428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29AF-E13E-432A-A7B0-CB05A7D1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8020</TotalTime>
  <Pages>32</Pages>
  <Words>2920</Words>
  <Characters>16650</Characters>
  <Application>Microsoft Office Word</Application>
  <DocSecurity>0</DocSecurity>
  <Lines>138</Lines>
  <Paragraphs>39</Paragraphs>
  <ScaleCrop>false</ScaleCrop>
  <Company>Sky123.Org</Company>
  <LinksUpToDate>false</LinksUpToDate>
  <CharactersWithSpaces>19531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511</cp:revision>
  <dcterms:created xsi:type="dcterms:W3CDTF">2016-01-13T01:58:00Z</dcterms:created>
  <dcterms:modified xsi:type="dcterms:W3CDTF">2016-04-25T02:33:00Z</dcterms:modified>
</cp:coreProperties>
</file>