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48" w:rsidRDefault="00A52748" w:rsidP="00A52748">
      <w:pPr>
        <w:pStyle w:val="berschrift3"/>
        <w:rPr>
          <w:rFonts w:ascii="Calibri(Überschriften)" w:hAnsi="Calibri(Überschriften)"/>
          <w:sz w:val="36"/>
          <w:szCs w:val="36"/>
        </w:rPr>
      </w:pPr>
      <w:r>
        <w:rPr>
          <w:rFonts w:ascii="Calibri(Überschriften)" w:hAnsi="Calibri(Überschriften)"/>
          <w:sz w:val="36"/>
          <w:szCs w:val="36"/>
        </w:rPr>
        <w:t>ABNAHMEPROTOKOLL 11.10.2018</w:t>
      </w:r>
    </w:p>
    <w:p w:rsidR="00A52748" w:rsidRDefault="00A52748" w:rsidP="00A52748">
      <w:r>
        <w:t>PRAKTIKUM 1</w:t>
      </w:r>
    </w:p>
    <w:p w:rsidR="00A52748" w:rsidRDefault="00A52748" w:rsidP="00A52748"/>
    <w:p w:rsidR="00A52748" w:rsidRDefault="00A52748" w:rsidP="00A52748">
      <w:r>
        <w:t>Hier werden die am 11.10.2018 mit dem Kunden besprochenen Punkte für das Milestone 1 festgehalten.</w:t>
      </w:r>
    </w:p>
    <w:p w:rsidR="00A52748" w:rsidRDefault="00A52748" w:rsidP="00A5274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5"/>
        <w:gridCol w:w="7262"/>
        <w:gridCol w:w="1025"/>
      </w:tblGrid>
      <w:tr w:rsidR="00A52748" w:rsidTr="00217E5C">
        <w:tc>
          <w:tcPr>
            <w:tcW w:w="776" w:type="dxa"/>
            <w:shd w:val="clear" w:color="auto" w:fill="B4C6E7" w:themeFill="accent1" w:themeFillTint="66"/>
          </w:tcPr>
          <w:p w:rsidR="00A52748" w:rsidRDefault="00A52748" w:rsidP="00A52748">
            <w:r>
              <w:t>Punkt</w:t>
            </w:r>
          </w:p>
        </w:tc>
        <w:tc>
          <w:tcPr>
            <w:tcW w:w="7441" w:type="dxa"/>
            <w:shd w:val="clear" w:color="auto" w:fill="B4C6E7" w:themeFill="accent1" w:themeFillTint="66"/>
          </w:tcPr>
          <w:p w:rsidR="00A52748" w:rsidRDefault="00A52748" w:rsidP="00A52748"/>
        </w:tc>
        <w:tc>
          <w:tcPr>
            <w:tcW w:w="845" w:type="dxa"/>
            <w:shd w:val="clear" w:color="auto" w:fill="B4C6E7" w:themeFill="accent1" w:themeFillTint="66"/>
          </w:tcPr>
          <w:p w:rsidR="00A52748" w:rsidRDefault="00A52748" w:rsidP="00A52748">
            <w:proofErr w:type="spellStart"/>
            <w:r>
              <w:t>Abge</w:t>
            </w:r>
            <w:r w:rsidR="00217E5C">
              <w:t>-</w:t>
            </w:r>
            <w:r>
              <w:t>nommen</w:t>
            </w:r>
            <w:proofErr w:type="spellEnd"/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1</w:t>
            </w:r>
          </w:p>
        </w:tc>
        <w:tc>
          <w:tcPr>
            <w:tcW w:w="7441" w:type="dxa"/>
          </w:tcPr>
          <w:p w:rsidR="00A52748" w:rsidRDefault="00A52748" w:rsidP="00A52748">
            <w:r>
              <w:t>Ausarbeitung typischer Anwendungsszenarien und Darstellung im RDT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2</w:t>
            </w:r>
          </w:p>
        </w:tc>
        <w:tc>
          <w:tcPr>
            <w:tcW w:w="7441" w:type="dxa"/>
          </w:tcPr>
          <w:p w:rsidR="00A52748" w:rsidRDefault="00A52748" w:rsidP="00A52748">
            <w:r>
              <w:t>Ausarbeitung von Software-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  <w:tr w:rsidR="00A52748" w:rsidTr="00217E5C">
        <w:tc>
          <w:tcPr>
            <w:tcW w:w="776" w:type="dxa"/>
          </w:tcPr>
          <w:p w:rsidR="00A52748" w:rsidRDefault="00A52748" w:rsidP="00A52748">
            <w:r>
              <w:t>3</w:t>
            </w:r>
          </w:p>
        </w:tc>
        <w:tc>
          <w:tcPr>
            <w:tcW w:w="7441" w:type="dxa"/>
          </w:tcPr>
          <w:p w:rsidR="00A52748" w:rsidRDefault="00A52748" w:rsidP="00A52748">
            <w:r>
              <w:t>Einfache Ansteuerung der Ampel.</w:t>
            </w:r>
          </w:p>
        </w:tc>
        <w:tc>
          <w:tcPr>
            <w:tcW w:w="845" w:type="dxa"/>
          </w:tcPr>
          <w:p w:rsidR="00A52748" w:rsidRDefault="00217E5C" w:rsidP="00A52748">
            <w:r>
              <w:br/>
            </w:r>
          </w:p>
        </w:tc>
      </w:tr>
    </w:tbl>
    <w:p w:rsidR="00A52748" w:rsidRDefault="00A52748" w:rsidP="00A52748"/>
    <w:p w:rsidR="00A52748" w:rsidRDefault="00A52748" w:rsidP="00A52748">
      <w:r>
        <w:t>Folgende Punkte wurden zusätzlich beschlossen und sind vom Kunden zu akzeptieren</w:t>
      </w:r>
      <w:r w:rsidR="00967E4E">
        <w:t xml:space="preserve">. </w:t>
      </w:r>
      <w:r w:rsidR="00967E4E" w:rsidRPr="00217E5C">
        <w:rPr>
          <w:b/>
          <w:sz w:val="28"/>
          <w:szCs w:val="28"/>
        </w:rPr>
        <w:t>Diese Entscheidungen überschreiben die ursprüngliche Kundenspezifikation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5"/>
        <w:gridCol w:w="7464"/>
        <w:gridCol w:w="823"/>
      </w:tblGrid>
      <w:tr w:rsidR="0038433F" w:rsidTr="0038433F">
        <w:tc>
          <w:tcPr>
            <w:tcW w:w="776" w:type="dxa"/>
            <w:shd w:val="clear" w:color="auto" w:fill="B4C6E7" w:themeFill="accent1" w:themeFillTint="66"/>
          </w:tcPr>
          <w:p w:rsidR="00A52748" w:rsidRDefault="00A52748" w:rsidP="008902E0">
            <w:r>
              <w:t>Punkt</w:t>
            </w:r>
          </w:p>
        </w:tc>
        <w:tc>
          <w:tcPr>
            <w:tcW w:w="7583" w:type="dxa"/>
            <w:shd w:val="clear" w:color="auto" w:fill="B4C6E7" w:themeFill="accent1" w:themeFillTint="66"/>
          </w:tcPr>
          <w:p w:rsidR="00A52748" w:rsidRDefault="00A52748" w:rsidP="008902E0"/>
        </w:tc>
        <w:tc>
          <w:tcPr>
            <w:tcW w:w="703" w:type="dxa"/>
            <w:shd w:val="clear" w:color="auto" w:fill="B4C6E7" w:themeFill="accent1" w:themeFillTint="66"/>
          </w:tcPr>
          <w:p w:rsidR="00A52748" w:rsidRDefault="00A52748" w:rsidP="008902E0">
            <w:proofErr w:type="spellStart"/>
            <w:r>
              <w:t>Akzep</w:t>
            </w:r>
            <w:r w:rsidR="0038433F">
              <w:t>-</w:t>
            </w:r>
            <w:r>
              <w:t>tiert</w:t>
            </w:r>
            <w:proofErr w:type="spellEnd"/>
          </w:p>
        </w:tc>
      </w:tr>
      <w:tr w:rsidR="0038433F" w:rsidTr="0038433F">
        <w:tc>
          <w:tcPr>
            <w:tcW w:w="776" w:type="dxa"/>
          </w:tcPr>
          <w:p w:rsidR="00A52748" w:rsidRDefault="00A52748" w:rsidP="008902E0">
            <w:r>
              <w:t>1</w:t>
            </w:r>
          </w:p>
        </w:tc>
        <w:tc>
          <w:tcPr>
            <w:tcW w:w="7583" w:type="dxa"/>
          </w:tcPr>
          <w:p w:rsidR="00E26F5E" w:rsidRDefault="0038433F" w:rsidP="008902E0">
            <w:r>
              <w:t xml:space="preserve">Wenn an einem Band ein Fehler auftritt, dann findet die Fehlerbehandlung auch hier statt (Nur dieses Band bleibt stehen, an diesem Band leuchtet </w:t>
            </w:r>
            <w:r w:rsidR="005E016F">
              <w:t>die Ampel (Farbe hängt vom Fehler ab)</w:t>
            </w:r>
            <w:r>
              <w:t>, um den Fehler zu signalisieren und nur an diesem Band wird der Fehler quittiert)</w:t>
            </w:r>
          </w:p>
          <w:p w:rsidR="00E26F5E" w:rsidRDefault="00E26F5E" w:rsidP="008902E0"/>
          <w:p w:rsidR="00A52748" w:rsidRDefault="00E26F5E" w:rsidP="008902E0">
            <w:r>
              <w:t xml:space="preserve">Sobald irgendein </w:t>
            </w:r>
            <w:proofErr w:type="spellStart"/>
            <w:r w:rsidR="002F211D">
              <w:t>Estop</w:t>
            </w:r>
            <w:proofErr w:type="spellEnd"/>
            <w:r>
              <w:t>-</w:t>
            </w:r>
            <w:r w:rsidR="002F211D">
              <w:t>Schalter</w:t>
            </w:r>
            <w:r>
              <w:t xml:space="preserve"> gedrückt wurde,</w:t>
            </w:r>
            <w:r w:rsidR="0038433F">
              <w:t xml:space="preserve"> </w:t>
            </w:r>
            <w:r>
              <w:t>muss an allen Bändern quittiert werden</w:t>
            </w:r>
            <w:r w:rsidR="002F211D">
              <w:t xml:space="preserve"> und die </w:t>
            </w:r>
            <w:proofErr w:type="spellStart"/>
            <w:r w:rsidR="002F211D">
              <w:t>Estop</w:t>
            </w:r>
            <w:proofErr w:type="spellEnd"/>
            <w:r w:rsidR="002F211D">
              <w:t>-Schalter herausgezogen werden</w:t>
            </w:r>
            <w:r>
              <w:t>.</w:t>
            </w:r>
          </w:p>
        </w:tc>
        <w:tc>
          <w:tcPr>
            <w:tcW w:w="703" w:type="dxa"/>
          </w:tcPr>
          <w:p w:rsidR="00A52748" w:rsidRDefault="00A52748" w:rsidP="008902E0"/>
        </w:tc>
      </w:tr>
      <w:tr w:rsidR="0038433F" w:rsidTr="0038433F">
        <w:tc>
          <w:tcPr>
            <w:tcW w:w="776" w:type="dxa"/>
          </w:tcPr>
          <w:p w:rsidR="00A52748" w:rsidRDefault="00A52748" w:rsidP="008902E0">
            <w:r>
              <w:t>2</w:t>
            </w:r>
          </w:p>
        </w:tc>
        <w:tc>
          <w:tcPr>
            <w:tcW w:w="7583" w:type="dxa"/>
          </w:tcPr>
          <w:p w:rsidR="00A52748" w:rsidRDefault="0038433F" w:rsidP="008902E0">
            <w:r>
              <w:t xml:space="preserve">Wenn ein Werkstück das Ende von Band 2 erreicht, dann bleibt das Band </w:t>
            </w:r>
            <w:r w:rsidR="002F211D">
              <w:t xml:space="preserve">2 </w:t>
            </w:r>
            <w:r>
              <w:t xml:space="preserve">stehen, bis </w:t>
            </w:r>
            <w:r w:rsidR="002F211D">
              <w:t>das Werkstück</w:t>
            </w:r>
            <w:r>
              <w:t xml:space="preserve"> manuell (von Hand) entfernt wird.</w:t>
            </w:r>
          </w:p>
        </w:tc>
        <w:tc>
          <w:tcPr>
            <w:tcW w:w="703" w:type="dxa"/>
          </w:tcPr>
          <w:p w:rsidR="00A52748" w:rsidRDefault="00A52748" w:rsidP="008902E0"/>
        </w:tc>
      </w:tr>
      <w:tr w:rsidR="0038433F" w:rsidTr="0038433F">
        <w:tc>
          <w:tcPr>
            <w:tcW w:w="776" w:type="dxa"/>
          </w:tcPr>
          <w:p w:rsidR="00A52748" w:rsidRDefault="00A52748" w:rsidP="008902E0">
            <w:r>
              <w:t>3</w:t>
            </w:r>
          </w:p>
        </w:tc>
        <w:tc>
          <w:tcPr>
            <w:tcW w:w="7583" w:type="dxa"/>
          </w:tcPr>
          <w:p w:rsidR="00A52748" w:rsidRDefault="0038433F" w:rsidP="008902E0">
            <w:r>
              <w:t xml:space="preserve">Die Entscheidung, wie viel Zeit vergehen soll, oder wie schnell neue Werkstücke auf das Band gelegt </w:t>
            </w:r>
            <w:r w:rsidR="002F211D">
              <w:t xml:space="preserve">werden </w:t>
            </w:r>
            <w:r>
              <w:t xml:space="preserve">dürfen, wird vom Team festgelegt. Hierbei ist </w:t>
            </w:r>
            <w:r w:rsidR="002F211D">
              <w:t xml:space="preserve">ein </w:t>
            </w:r>
            <w:r>
              <w:t>maximale</w:t>
            </w:r>
            <w:r w:rsidR="002F211D">
              <w:t>r</w:t>
            </w:r>
            <w:r>
              <w:t xml:space="preserve"> Durchsatz </w:t>
            </w:r>
            <w:r w:rsidR="002F211D">
              <w:t>an</w:t>
            </w:r>
            <w:r>
              <w:t xml:space="preserve"> Werkstücke</w:t>
            </w:r>
            <w:r w:rsidR="002F211D">
              <w:t>n</w:t>
            </w:r>
            <w:r>
              <w:t xml:space="preserve"> das Ziel.</w:t>
            </w:r>
          </w:p>
        </w:tc>
        <w:tc>
          <w:tcPr>
            <w:tcW w:w="703" w:type="dxa"/>
          </w:tcPr>
          <w:p w:rsidR="00A52748" w:rsidRDefault="00A52748" w:rsidP="008902E0"/>
        </w:tc>
      </w:tr>
      <w:tr w:rsidR="0038433F" w:rsidTr="0038433F">
        <w:tc>
          <w:tcPr>
            <w:tcW w:w="776" w:type="dxa"/>
          </w:tcPr>
          <w:p w:rsidR="0038433F" w:rsidRDefault="0038433F" w:rsidP="008902E0">
            <w:r>
              <w:t>4</w:t>
            </w:r>
          </w:p>
        </w:tc>
        <w:tc>
          <w:tcPr>
            <w:tcW w:w="7583" w:type="dxa"/>
          </w:tcPr>
          <w:p w:rsidR="00E26F5E" w:rsidRDefault="0038433F" w:rsidP="008902E0">
            <w:r>
              <w:t xml:space="preserve">Die Rutsche zählt als „voll“, wenn nach dem Aussortieren eines Werkstücks der zuständige Sensor „Rutsche Voll“ </w:t>
            </w:r>
            <w:r w:rsidR="00E26F5E">
              <w:t>durchgehend (</w:t>
            </w:r>
            <w:r w:rsidR="002F211D">
              <w:t xml:space="preserve">Zeit </w:t>
            </w:r>
            <w:r w:rsidR="00E26F5E">
              <w:t xml:space="preserve">muss noch spezifiziert werden) </w:t>
            </w:r>
            <w:r>
              <w:t>aktiv ist.</w:t>
            </w:r>
          </w:p>
        </w:tc>
        <w:tc>
          <w:tcPr>
            <w:tcW w:w="703" w:type="dxa"/>
          </w:tcPr>
          <w:p w:rsidR="0038433F" w:rsidRDefault="0038433F" w:rsidP="008902E0"/>
        </w:tc>
      </w:tr>
      <w:tr w:rsidR="0038433F" w:rsidTr="0038433F">
        <w:tc>
          <w:tcPr>
            <w:tcW w:w="776" w:type="dxa"/>
          </w:tcPr>
          <w:p w:rsidR="0038433F" w:rsidRDefault="0038433F" w:rsidP="008902E0">
            <w:r>
              <w:t>5</w:t>
            </w:r>
          </w:p>
        </w:tc>
        <w:tc>
          <w:tcPr>
            <w:tcW w:w="7583" w:type="dxa"/>
          </w:tcPr>
          <w:p w:rsidR="0038433F" w:rsidRDefault="00E75B2B" w:rsidP="008902E0">
            <w:r>
              <w:t xml:space="preserve">Am Ende von Band 2 dürfen </w:t>
            </w:r>
            <w:r w:rsidR="00E26F5E" w:rsidRPr="00E26F5E">
              <w:rPr>
                <w:b/>
                <w:sz w:val="28"/>
                <w:szCs w:val="28"/>
              </w:rPr>
              <w:t>nur</w:t>
            </w:r>
            <w:r>
              <w:t xml:space="preserve"> Werkstücke mit Bohrung ankommen. (nicht auf dem Kopf</w:t>
            </w:r>
            <w:r w:rsidR="002F211D">
              <w:t>, also nicht unten</w:t>
            </w:r>
            <w:r>
              <w:t>)</w:t>
            </w:r>
          </w:p>
        </w:tc>
        <w:tc>
          <w:tcPr>
            <w:tcW w:w="703" w:type="dxa"/>
          </w:tcPr>
          <w:p w:rsidR="0038433F" w:rsidRDefault="0038433F" w:rsidP="008902E0"/>
        </w:tc>
      </w:tr>
      <w:tr w:rsidR="00E75B2B" w:rsidTr="0038433F">
        <w:tc>
          <w:tcPr>
            <w:tcW w:w="776" w:type="dxa"/>
          </w:tcPr>
          <w:p w:rsidR="00E75B2B" w:rsidRDefault="00E75B2B" w:rsidP="008902E0">
            <w:r>
              <w:t>6</w:t>
            </w:r>
          </w:p>
        </w:tc>
        <w:tc>
          <w:tcPr>
            <w:tcW w:w="7583" w:type="dxa"/>
          </w:tcPr>
          <w:p w:rsidR="00E75B2B" w:rsidRDefault="00E75B2B">
            <w:r>
              <w:t>Es existieren nur folgende Werkstücktypen:</w:t>
            </w:r>
          </w:p>
          <w:p w:rsidR="00E75B2B" w:rsidRDefault="00E75B2B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5551"/>
            </w:tblGrid>
            <w:tr w:rsidR="00E75B2B" w:rsidTr="008902E0">
              <w:tc>
                <w:tcPr>
                  <w:tcW w:w="1027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1</w:t>
                  </w:r>
                </w:p>
              </w:tc>
              <w:tc>
                <w:tcPr>
                  <w:tcW w:w="5551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Flaches Werkstück</w:t>
                  </w:r>
                </w:p>
              </w:tc>
            </w:tr>
            <w:tr w:rsidR="00E75B2B" w:rsidTr="008902E0">
              <w:tc>
                <w:tcPr>
                  <w:tcW w:w="1027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2.1</w:t>
                  </w:r>
                </w:p>
              </w:tc>
              <w:tc>
                <w:tcPr>
                  <w:tcW w:w="5551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Werkstück mit Bohrung </w:t>
                  </w:r>
                  <w:r w:rsidR="002F211D">
                    <w:rPr>
                      <w:rFonts w:ascii="Arial" w:hAnsi="Arial" w:cs="Arial"/>
                      <w:sz w:val="24"/>
                    </w:rPr>
                    <w:t xml:space="preserve">oben </w:t>
                  </w:r>
                  <w:r>
                    <w:rPr>
                      <w:rFonts w:ascii="Arial" w:hAnsi="Arial" w:cs="Arial"/>
                      <w:sz w:val="24"/>
                    </w:rPr>
                    <w:t>und Metalleinsatz</w:t>
                  </w:r>
                </w:p>
              </w:tc>
            </w:tr>
            <w:tr w:rsidR="00E75B2B" w:rsidTr="008902E0">
              <w:tc>
                <w:tcPr>
                  <w:tcW w:w="1027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2.2</w:t>
                  </w:r>
                </w:p>
              </w:tc>
              <w:tc>
                <w:tcPr>
                  <w:tcW w:w="5551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2.1 auf dem Kopf</w:t>
                  </w:r>
                  <w:r w:rsidR="002F211D">
                    <w:rPr>
                      <w:rFonts w:ascii="Arial" w:hAnsi="Arial" w:cs="Arial"/>
                      <w:sz w:val="24"/>
                    </w:rPr>
                    <w:t xml:space="preserve"> (Bohrung unten)</w:t>
                  </w:r>
                </w:p>
              </w:tc>
            </w:tr>
            <w:tr w:rsidR="00E75B2B" w:rsidTr="008902E0">
              <w:tc>
                <w:tcPr>
                  <w:tcW w:w="1027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3.1</w:t>
                  </w:r>
                </w:p>
              </w:tc>
              <w:tc>
                <w:tcPr>
                  <w:tcW w:w="5551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Werkstück mit Bohrung </w:t>
                  </w:r>
                  <w:r w:rsidR="002F211D">
                    <w:rPr>
                      <w:rFonts w:ascii="Arial" w:hAnsi="Arial" w:cs="Arial"/>
                      <w:sz w:val="24"/>
                    </w:rPr>
                    <w:t xml:space="preserve">oben </w:t>
                  </w:r>
                  <w:r>
                    <w:rPr>
                      <w:rFonts w:ascii="Arial" w:hAnsi="Arial" w:cs="Arial"/>
                      <w:sz w:val="24"/>
                    </w:rPr>
                    <w:t>ohne Metalleinsatz</w:t>
                  </w:r>
                </w:p>
              </w:tc>
            </w:tr>
            <w:tr w:rsidR="00E75B2B" w:rsidTr="008902E0">
              <w:tc>
                <w:tcPr>
                  <w:tcW w:w="1027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3.2</w:t>
                  </w:r>
                </w:p>
              </w:tc>
              <w:tc>
                <w:tcPr>
                  <w:tcW w:w="5551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3.1 auf dem Kopf</w:t>
                  </w:r>
                  <w:r w:rsidR="002F211D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2F211D">
                    <w:rPr>
                      <w:rFonts w:ascii="Arial" w:hAnsi="Arial" w:cs="Arial"/>
                      <w:sz w:val="24"/>
                    </w:rPr>
                    <w:t>(Bohrung unten)</w:t>
                  </w:r>
                </w:p>
              </w:tc>
            </w:tr>
            <w:tr w:rsidR="00E75B2B" w:rsidTr="008902E0">
              <w:tc>
                <w:tcPr>
                  <w:tcW w:w="1027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4.x</w:t>
                  </w:r>
                </w:p>
              </w:tc>
              <w:tc>
                <w:tcPr>
                  <w:tcW w:w="5551" w:type="dxa"/>
                </w:tcPr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Codierte Werkstücke, jeweils mit ihrer binären Codierung. (4.2 hat zum Beispiel die Codierung </w:t>
                  </w:r>
                </w:p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„0-1-0“</w:t>
                  </w:r>
                </w:p>
                <w:p w:rsidR="00E75B2B" w:rsidRDefault="00E75B2B" w:rsidP="00E75B2B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lastRenderedPageBreak/>
                    <w:t>Es existieren hierbei:</w:t>
                  </w:r>
                </w:p>
                <w:p w:rsidR="00E75B2B" w:rsidRDefault="00E75B2B" w:rsidP="00E75B2B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4.1</w:t>
                  </w:r>
                </w:p>
                <w:p w:rsidR="00E75B2B" w:rsidRDefault="00E75B2B" w:rsidP="00E75B2B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4.2</w:t>
                  </w:r>
                </w:p>
                <w:p w:rsidR="00E75B2B" w:rsidRDefault="00E75B2B" w:rsidP="00E75B2B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4.4</w:t>
                  </w:r>
                </w:p>
                <w:p w:rsidR="00E75B2B" w:rsidRPr="00E75B2B" w:rsidRDefault="00E75B2B" w:rsidP="00E75B2B">
                  <w:pPr>
                    <w:pStyle w:val="Listenabsatz"/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4.5</w:t>
                  </w:r>
                </w:p>
              </w:tc>
            </w:tr>
          </w:tbl>
          <w:p w:rsidR="00E75B2B" w:rsidRDefault="00E75B2B" w:rsidP="008902E0"/>
          <w:p w:rsidR="00E75B2B" w:rsidRDefault="00E75B2B" w:rsidP="008902E0">
            <w:r>
              <w:t xml:space="preserve">Andere Werkstücke oder Objekte, dürfen </w:t>
            </w:r>
            <w:r w:rsidRPr="00E75B2B">
              <w:rPr>
                <w:b/>
                <w:sz w:val="28"/>
                <w:szCs w:val="28"/>
              </w:rPr>
              <w:t>nicht</w:t>
            </w:r>
            <w:r>
              <w:t xml:space="preserve"> auf das Band gelegt werden.</w:t>
            </w:r>
          </w:p>
          <w:p w:rsidR="00E75B2B" w:rsidRDefault="002F211D" w:rsidP="008902E0">
            <w:r>
              <w:t>Das Verhalten bei der Übergabe von anderen Typen oder Objekten wird vom Team festgelegt.</w:t>
            </w:r>
          </w:p>
        </w:tc>
        <w:tc>
          <w:tcPr>
            <w:tcW w:w="703" w:type="dxa"/>
          </w:tcPr>
          <w:p w:rsidR="00E75B2B" w:rsidRDefault="00E75B2B" w:rsidP="008902E0"/>
        </w:tc>
      </w:tr>
      <w:tr w:rsidR="00E75B2B" w:rsidTr="0038433F">
        <w:tc>
          <w:tcPr>
            <w:tcW w:w="776" w:type="dxa"/>
          </w:tcPr>
          <w:p w:rsidR="00E75B2B" w:rsidRDefault="00E75B2B" w:rsidP="008902E0">
            <w:r>
              <w:t>7</w:t>
            </w:r>
          </w:p>
        </w:tc>
        <w:tc>
          <w:tcPr>
            <w:tcW w:w="7583" w:type="dxa"/>
          </w:tcPr>
          <w:p w:rsidR="00967E4E" w:rsidRDefault="00E75B2B">
            <w:r>
              <w:t>Bei jeder Inbetriebnahme (Strom einschalten</w:t>
            </w:r>
            <w:r w:rsidR="00740BBE">
              <w:t xml:space="preserve"> und Power-Schalter auf I legen, Programm starten</w:t>
            </w:r>
            <w:r>
              <w:t xml:space="preserve">) findet eine Kalibrierung des Systems statt. </w:t>
            </w:r>
          </w:p>
          <w:p w:rsidR="00967E4E" w:rsidRDefault="00967E4E"/>
          <w:p w:rsidR="00E75B2B" w:rsidRPr="00967E4E" w:rsidRDefault="00E75B2B">
            <w:r>
              <w:t>Eine Kalibrierung</w:t>
            </w:r>
            <w:r w:rsidR="00740BBE">
              <w:t xml:space="preserve"> </w:t>
            </w:r>
            <w:bookmarkStart w:id="0" w:name="_GoBack"/>
            <w:bookmarkEnd w:id="0"/>
            <w:r w:rsidR="00740BBE">
              <w:t>des Systems</w:t>
            </w:r>
            <w:r>
              <w:t xml:space="preserve"> </w:t>
            </w:r>
            <w:r w:rsidR="00967E4E">
              <w:t xml:space="preserve">wird auch durchgeführt, wenn die Start-Taste lang (3 Sekunden) gedrückt wird, </w:t>
            </w:r>
            <w:r w:rsidR="00967E4E" w:rsidRPr="00967E4E">
              <w:rPr>
                <w:b/>
                <w:sz w:val="28"/>
                <w:szCs w:val="28"/>
              </w:rPr>
              <w:t>wenn das System im Standardzustand ist</w:t>
            </w:r>
            <w:r w:rsidR="00967E4E">
              <w:t>. (Voraussetzung hierfür ist, dass beide Bänder in keinem Fehlerzustand sind und keine offenen Quittierungen anstehen, beide Bänder leer sind und beide Rutschen leer sind)</w:t>
            </w:r>
          </w:p>
        </w:tc>
        <w:tc>
          <w:tcPr>
            <w:tcW w:w="703" w:type="dxa"/>
          </w:tcPr>
          <w:p w:rsidR="00E75B2B" w:rsidRDefault="00E75B2B" w:rsidP="008902E0"/>
        </w:tc>
      </w:tr>
      <w:tr w:rsidR="00967E4E" w:rsidTr="0038433F">
        <w:tc>
          <w:tcPr>
            <w:tcW w:w="776" w:type="dxa"/>
          </w:tcPr>
          <w:p w:rsidR="00967E4E" w:rsidRDefault="00967E4E" w:rsidP="008902E0">
            <w:r>
              <w:t>8</w:t>
            </w:r>
          </w:p>
        </w:tc>
        <w:tc>
          <w:tcPr>
            <w:tcW w:w="7583" w:type="dxa"/>
          </w:tcPr>
          <w:p w:rsidR="00967E4E" w:rsidRDefault="00967E4E" w:rsidP="00967E4E">
            <w:r>
              <w:t xml:space="preserve">Es dürfen stets Werkstücke </w:t>
            </w:r>
            <w:r w:rsidRPr="00967E4E">
              <w:rPr>
                <w:b/>
                <w:sz w:val="28"/>
                <w:szCs w:val="28"/>
              </w:rPr>
              <w:t>an den Anfang von Band 1</w:t>
            </w:r>
            <w:r>
              <w:t xml:space="preserve"> (Lichtschranke am Anfang muss durchbrochen werden) gelegt werden, wenn der Anfang von</w:t>
            </w:r>
          </w:p>
          <w:p w:rsidR="00967E4E" w:rsidRDefault="00967E4E" w:rsidP="00967E4E">
            <w:r>
              <w:t>Band 1 frei ist.</w:t>
            </w:r>
          </w:p>
        </w:tc>
        <w:tc>
          <w:tcPr>
            <w:tcW w:w="703" w:type="dxa"/>
          </w:tcPr>
          <w:p w:rsidR="00967E4E" w:rsidRDefault="00967E4E" w:rsidP="008902E0"/>
        </w:tc>
      </w:tr>
    </w:tbl>
    <w:p w:rsidR="00A52748" w:rsidRDefault="00A52748" w:rsidP="00A52748"/>
    <w:p w:rsidR="00A52748" w:rsidRDefault="00A52748" w:rsidP="00A52748"/>
    <w:p w:rsidR="00967E4E" w:rsidRDefault="00967E4E" w:rsidP="00A52748"/>
    <w:p w:rsidR="00967E4E" w:rsidRDefault="00967E4E" w:rsidP="00A52748"/>
    <w:p w:rsidR="00967E4E" w:rsidRDefault="00967E4E" w:rsidP="00A52748">
      <w:r>
        <w:t>_______________________</w:t>
      </w:r>
    </w:p>
    <w:p w:rsidR="00967E4E" w:rsidRDefault="00967E4E" w:rsidP="00A52748">
      <w:r>
        <w:t>Unterschrift des Kunden</w:t>
      </w:r>
      <w:r>
        <w:tab/>
      </w:r>
      <w:r>
        <w:tab/>
      </w:r>
    </w:p>
    <w:p w:rsidR="00967E4E" w:rsidRDefault="00967E4E" w:rsidP="00967E4E">
      <w:r>
        <w:t>_______________________</w:t>
      </w:r>
    </w:p>
    <w:p w:rsidR="00967E4E" w:rsidRDefault="00967E4E" w:rsidP="00967E4E">
      <w:r>
        <w:t>Ort &amp; Datum</w:t>
      </w:r>
      <w:r>
        <w:tab/>
      </w:r>
      <w:r>
        <w:tab/>
      </w:r>
    </w:p>
    <w:p w:rsidR="00967E4E" w:rsidRDefault="00967E4E" w:rsidP="00A52748">
      <w:pPr>
        <w:pBdr>
          <w:bottom w:val="single" w:sz="12" w:space="1" w:color="auto"/>
        </w:pBdr>
      </w:pPr>
    </w:p>
    <w:p w:rsidR="00967E4E" w:rsidRPr="00A52748" w:rsidRDefault="00967E4E" w:rsidP="00A52748"/>
    <w:sectPr w:rsidR="00967E4E" w:rsidRPr="00A52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(Überschriften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C1361"/>
    <w:multiLevelType w:val="hybridMultilevel"/>
    <w:tmpl w:val="3EF22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8"/>
    <w:rsid w:val="00217E5C"/>
    <w:rsid w:val="002F211D"/>
    <w:rsid w:val="0038433F"/>
    <w:rsid w:val="005E016F"/>
    <w:rsid w:val="00740BBE"/>
    <w:rsid w:val="00967E4E"/>
    <w:rsid w:val="00A52748"/>
    <w:rsid w:val="00E26F5E"/>
    <w:rsid w:val="00E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E189"/>
  <w15:chartTrackingRefBased/>
  <w15:docId w15:val="{896E2B4F-8FDB-45E7-9BC0-1C69278C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2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2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2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2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A5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Adem-Can Agdas</cp:lastModifiedBy>
  <cp:revision>4</cp:revision>
  <dcterms:created xsi:type="dcterms:W3CDTF">2018-10-11T07:59:00Z</dcterms:created>
  <dcterms:modified xsi:type="dcterms:W3CDTF">2018-10-11T09:29:00Z</dcterms:modified>
</cp:coreProperties>
</file>