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следующих лиц (субобработчиков):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инфраструктуры Сервиса, включая базы данных сайтов Оператора, в центрах обработки данных на территории Российской Федерации и обработка запросов на генерацию и правку сайтов средствами моделей Yandex Cloud AI Studio;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почтовый сервис Яндекс 360 для бизнеса: доставка Оператору уведомлений о заявках, содержащих данные, введённые субъектами в формы на сайтах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при заполнении форм на сайтах Оператора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Сторонние сервисы, которые Оператор подключает к своим сайтам самостоятельно (CRM-системы, счётчики аналитики, виджеты), субобработчиками Обработчика не являются: их привлекает Оператор как оператор персональных данных на основании собственных договоров (пункт 10.3 Поручения).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2026-09-22T12:21:33.428Z</dcterms:created>
  <dcterms:modified xsi:type="dcterms:W3CDTF">2026-09-22T12:21:33.428Z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