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/>
      </w:pPr>
      <w:r>
        <w:rPr>
          <w:rFonts w:ascii="Calibri" w:hAnsi="Calibri"/>
          <w:b/>
          <w:i w:val="0"/>
          <w:color w:val="111A22"/>
          <w:sz w:val="32"/>
        </w:rPr>
        <w:t>TYPE EVALUATION TEST REPORT</w:t>
      </w:r>
    </w:p>
    <w:p>
      <w:pPr>
        <w:keepNext w:val="0"/>
        <w:spacing w:after="200" w:before="0"/>
      </w:pPr>
      <w:r>
        <w:rPr>
          <w:rFonts w:ascii="Calibri" w:hAnsi="Calibri"/>
          <w:b w:val="0"/>
          <w:i w:val="0"/>
          <w:color w:val="5B6E7A"/>
          <w:sz w:val="22"/>
        </w:rPr>
        <w:t>Non-automatic weighing instrument</w:t>
      </w:r>
    </w:p>
    <w:p>
      <w:pPr>
        <w:keepNext w:val="0"/>
        <w:spacing w:after="20" w:before="0"/>
      </w:pPr>
      <w:r>
        <w:rPr>
          <w:rFonts w:ascii="Calibri" w:hAnsi="Calibri"/>
          <w:b w:val="0"/>
          <w:i w:val="0"/>
          <w:color w:val="5B6E7A"/>
          <w:sz w:val="18"/>
        </w:rPr>
        <w:t>{{ standard_title }}</w:t>
      </w:r>
    </w:p>
    <w:p>
      <w:pPr>
        <w:keepNext w:val="0"/>
        <w:spacing w:after="280" w:before="0"/>
      </w:pPr>
      <w:r>
        <w:rPr>
          <w:rFonts w:ascii="Calibri" w:hAnsi="Calibri"/>
          <w:b w:val="0"/>
          <w:i w:val="0"/>
          <w:color w:val="5B6E7A"/>
          <w:sz w:val="18"/>
        </w:rPr>
        <w:t>{{ national_clause }}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Report number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ref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Testing laboratory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lab.name }} ({{ lab.code }})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Application number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application_no or '—'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Applicant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applicant or '—'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Evaluation period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evaluation_from or '—' }} to {{ evaluation_to or '—'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Date of report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report_date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Status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status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Approval mark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approval_mark or 'not yet assigned' }}</w:t>
            </w:r>
          </w:p>
        </w:tc>
      </w:tr>
    </w:tbl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A.  General information concerning the type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Manufacturer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instrument.manufacturer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Model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instrument.model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Serial number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instrument.serial or '—'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Instrument category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instrument_type_label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Accuracy class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derived.class_symbol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Indication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indication_label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Maximum capacity, Max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fmt(instrument.max_capacity_g)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Minimum capacity, Min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fmt(instrument.min_capacity_g)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Verification scale interval, e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fmt(instrument.e_g)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Actual scale interval, d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fmt(instrument.d_g)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Number of intervals, n = Max/e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'{:,.0f}'.format(derived.n)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Temperature range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instrument.temp_low_c }} °C to {{ instrument.temp_high_c }} °C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Software version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instrument.software_version or '—'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Software checksum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instrument.software_checksum or '—'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Load cell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load_cell_text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Standard weights used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instrument.weight_set or weight_set_id or '—' }}</w:t>
            </w:r>
          </w:p>
        </w:tc>
      </w:tr>
    </w:tbl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B.  Information concerning the test equipment used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Standard weights used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instrument.weight_set or weight_set_id or '—'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Weight class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weight_class or 'as recorded in the weight set'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Traceability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traceability or 'Certificates held by the laboratory'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Testing laboratory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20"/>
              </w:rPr>
              <w:t>{{ lab.name }} ({{ lab.code }})</w:t>
            </w:r>
          </w:p>
        </w:tc>
      </w:tr>
    </w:tbl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C.  Examination of the declared specification</w:t>
      </w:r>
    </w:p>
    <w:p>
      <w:pPr>
        <w:keepNext/>
        <w:spacing w:after="120" w:before="0"/>
      </w:pPr>
      <w:r>
        <w:rPr>
          <w:rFonts w:ascii="Calibri" w:hAnsi="Calibri"/>
          <w:b w:val="0"/>
          <w:i w:val="0"/>
          <w:color w:val="5B6E7A"/>
          <w:sz w:val="18"/>
        </w:rPr>
        <w:t>Checked against {{ standard_title }}, clause 3.2 and Table 3 before any test data was recorded.</w:t>
      </w:r>
    </w:p>
    <w:p>
      <w:pPr>
        <w:spacing w:after="0"/>
      </w:pPr>
      <w:r>
        <w:rPr>
          <w:sz w:val="18"/>
        </w:rPr>
        <w:t>[[TABLE:tbl_specification]]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D.  Summary of type evaluation</w:t>
      </w:r>
    </w:p>
    <w:p>
      <w:pPr>
        <w:spacing w:after="0"/>
      </w:pPr>
      <w:r>
        <w:rPr>
          <w:sz w:val="18"/>
        </w:rPr>
        <w:t>[[TABLE:tbl_summary]]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1.  Weighing performance</w:t>
      </w:r>
    </w:p>
    <w:p>
      <w:pPr>
        <w:keepNext/>
        <w:spacing w:after="40" w:before="0"/>
      </w:pPr>
      <w:r>
        <w:rPr>
          <w:rFonts w:ascii="Calibri" w:hAnsi="Calibri"/>
          <w:b w:val="0"/>
          <w:i w:val="0"/>
          <w:color w:val="5B6E7A"/>
          <w:sz w:val="18"/>
        </w:rPr>
        <w:t>A.4.4.1, A.4.4.3</w:t>
      </w:r>
    </w:p>
    <w:p>
      <w:pPr>
        <w:keepNext/>
        <w:spacing w:after="80" w:before="0"/>
      </w:pPr>
      <w:r>
        <w:rPr>
          <w:rFonts w:ascii="Calibri" w:hAnsi="Calibri"/>
          <w:b w:val="0"/>
          <w:i/>
          <w:color w:val="5B6E7A"/>
          <w:sz w:val="17"/>
        </w:rPr>
        <w:t>P = I + ½e − ΔL,   E = P − L,   Ec = E − E₀.  Ec is compared against the maximum permissible error for the applied load.</w:t>
      </w:r>
    </w:p>
    <w:p>
      <w:pPr>
        <w:spacing w:after="0"/>
      </w:pPr>
      <w:r>
        <w:rPr>
          <w:sz w:val="18"/>
        </w:rPr>
        <w:t>[[TABLE:tbl_weighing]]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2.  Temperature effect on no-load indication</w:t>
      </w:r>
    </w:p>
    <w:p>
      <w:pPr>
        <w:keepNext w:val="0"/>
        <w:spacing w:after="40" w:before="0"/>
      </w:pPr>
      <w:r>
        <w:rPr>
          <w:rFonts w:ascii="Calibri" w:hAnsi="Calibri"/>
          <w:b w:val="0"/>
          <w:i/>
          <w:color w:val="5B6E7A"/>
          <w:sz w:val="17"/>
        </w:rPr>
        <w:t>Not carried out in this evaluation. This report covers the tests listed in the summary above; the remaining tests of the form are shown here so that the section numbering matches the published format and the omission is explicit.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3.  Eccentricity</w:t>
      </w:r>
    </w:p>
    <w:p>
      <w:pPr>
        <w:keepNext/>
        <w:spacing w:after="40" w:before="0"/>
      </w:pPr>
      <w:r>
        <w:rPr>
          <w:rFonts w:ascii="Calibri" w:hAnsi="Calibri"/>
          <w:b w:val="0"/>
          <w:i w:val="0"/>
          <w:color w:val="5B6E7A"/>
          <w:sz w:val="18"/>
        </w:rPr>
        <w:t>A.4.7</w:t>
      </w:r>
    </w:p>
    <w:p>
      <w:pPr>
        <w:keepNext/>
        <w:spacing w:after="80" w:before="0"/>
      </w:pPr>
      <w:r>
        <w:rPr>
          <w:rFonts w:ascii="Calibri" w:hAnsi="Calibri"/>
          <w:b w:val="0"/>
          <w:i/>
          <w:color w:val="5B6E7A"/>
          <w:sz w:val="17"/>
        </w:rPr>
        <w:t>The load is applied to the centre and to each quarter segment of the load receptor. Each indication shall stay within the mpe for that load.</w:t>
      </w:r>
    </w:p>
    <w:p>
      <w:pPr>
        <w:spacing w:after="0"/>
      </w:pPr>
      <w:r>
        <w:rPr>
          <w:sz w:val="18"/>
        </w:rPr>
        <w:t>[[TABLE:tbl_eccentricity]]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4.  Discrimination and sensitivity</w:t>
      </w:r>
    </w:p>
    <w:p>
      <w:pPr>
        <w:keepNext w:val="0"/>
        <w:spacing w:after="40" w:before="0"/>
      </w:pPr>
      <w:r>
        <w:rPr>
          <w:rFonts w:ascii="Calibri" w:hAnsi="Calibri"/>
          <w:b w:val="0"/>
          <w:i/>
          <w:color w:val="5B6E7A"/>
          <w:sz w:val="17"/>
        </w:rPr>
        <w:t>Not carried out in this evaluation. This report covers the tests listed in the summary above; the remaining tests of the form are shown here so that the section numbering matches the published format and the omission is explicit.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5.  Repeatability</w:t>
      </w:r>
    </w:p>
    <w:p>
      <w:pPr>
        <w:keepNext/>
        <w:spacing w:after="40" w:before="0"/>
      </w:pPr>
      <w:r>
        <w:rPr>
          <w:rFonts w:ascii="Calibri" w:hAnsi="Calibri"/>
          <w:b w:val="0"/>
          <w:i w:val="0"/>
          <w:color w:val="5B6E7A"/>
          <w:sz w:val="18"/>
        </w:rPr>
        <w:t>3.6.1</w:t>
      </w:r>
    </w:p>
    <w:p>
      <w:pPr>
        <w:keepNext/>
        <w:spacing w:after="80" w:before="0"/>
      </w:pPr>
      <w:r>
        <w:rPr>
          <w:rFonts w:ascii="Calibri" w:hAnsi="Calibri"/>
          <w:b w:val="0"/>
          <w:i/>
          <w:color w:val="5B6E7A"/>
          <w:sz w:val="17"/>
        </w:rPr>
        <w:t>The difference between the results of several weighings of the same load shall not be greater than the absolute value of the mpe for that load.</w:t>
      </w:r>
    </w:p>
    <w:p>
      <w:pPr>
        <w:spacing w:after="0"/>
      </w:pPr>
      <w:r>
        <w:rPr>
          <w:sz w:val="18"/>
        </w:rPr>
        <w:t>[[TABLE:tbl_repeatability]]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6.  Time-dependence</w:t>
      </w:r>
    </w:p>
    <w:p>
      <w:pPr>
        <w:keepNext/>
        <w:spacing w:after="40" w:before="0"/>
      </w:pPr>
      <w:r>
        <w:rPr>
          <w:rFonts w:ascii="Calibri" w:hAnsi="Calibri"/>
          <w:b w:val="0"/>
          <w:i w:val="0"/>
          <w:color w:val="5B6E7A"/>
          <w:sz w:val="18"/>
        </w:rPr>
        <w:t>A.4.11.1</w:t>
      </w:r>
    </w:p>
    <w:p>
      <w:pPr>
        <w:keepNext/>
        <w:spacing w:after="80" w:before="0"/>
      </w:pPr>
      <w:r>
        <w:rPr>
          <w:rFonts w:ascii="Calibri" w:hAnsi="Calibri"/>
          <w:b w:val="0"/>
          <w:i/>
          <w:color w:val="5B6E7A"/>
          <w:sz w:val="17"/>
        </w:rPr>
        <w:t>Within the first 30 minutes the indication shall not differ by more than 0.5 e.</w:t>
      </w:r>
    </w:p>
    <w:p>
      <w:pPr>
        <w:spacing w:after="0"/>
      </w:pPr>
      <w:r>
        <w:rPr>
          <w:sz w:val="18"/>
        </w:rPr>
        <w:t>[[TABLE:tbl_creep]]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7.  Stability of equilibrium</w:t>
      </w:r>
    </w:p>
    <w:p>
      <w:pPr>
        <w:keepNext w:val="0"/>
        <w:spacing w:after="40" w:before="0"/>
      </w:pPr>
      <w:r>
        <w:rPr>
          <w:rFonts w:ascii="Calibri" w:hAnsi="Calibri"/>
          <w:b w:val="0"/>
          <w:i/>
          <w:color w:val="5B6E7A"/>
          <w:sz w:val="17"/>
        </w:rPr>
        <w:t>Not carried out in this evaluation. This report covers the tests listed in the summary above; the remaining tests of the form are shown here so that the section numbering matches the published format and the omission is explicit.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8.  Tilting</w:t>
      </w:r>
    </w:p>
    <w:p>
      <w:pPr>
        <w:keepNext w:val="0"/>
        <w:spacing w:after="40" w:before="0"/>
      </w:pPr>
      <w:r>
        <w:rPr>
          <w:rFonts w:ascii="Calibri" w:hAnsi="Calibri"/>
          <w:b w:val="0"/>
          <w:i/>
          <w:color w:val="5B6E7A"/>
          <w:sz w:val="17"/>
        </w:rPr>
        <w:t>Not carried out in this evaluation. This report covers the tests listed in the summary above; the remaining tests of the form are shown here so that the section numbering matches the published format and the omission is explicit.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9.  Tare (weighing test)</w:t>
      </w:r>
    </w:p>
    <w:p>
      <w:pPr>
        <w:keepNext w:val="0"/>
        <w:spacing w:after="40" w:before="0"/>
      </w:pPr>
      <w:r>
        <w:rPr>
          <w:rFonts w:ascii="Calibri" w:hAnsi="Calibri"/>
          <w:b w:val="0"/>
          <w:i/>
          <w:color w:val="5B6E7A"/>
          <w:sz w:val="17"/>
        </w:rPr>
        <w:t>Not carried out in this evaluation. This report covers the tests listed in the summary above; the remaining tests of the form are shown here so that the section numbering matches the published format and the omission is explicit.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10.  Warm-up time</w:t>
      </w:r>
    </w:p>
    <w:p>
      <w:pPr>
        <w:keepNext w:val="0"/>
        <w:spacing w:after="40" w:before="0"/>
      </w:pPr>
      <w:r>
        <w:rPr>
          <w:rFonts w:ascii="Calibri" w:hAnsi="Calibri"/>
          <w:b w:val="0"/>
          <w:i/>
          <w:color w:val="5B6E7A"/>
          <w:sz w:val="17"/>
        </w:rPr>
        <w:t>Not carried out in this evaluation. This report covers the tests listed in the summary above; the remaining tests of the form are shown here so that the section numbering matches the published format and the omission is explicit.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11.  Voltage variations</w:t>
      </w:r>
    </w:p>
    <w:p>
      <w:pPr>
        <w:keepNext w:val="0"/>
        <w:spacing w:after="40" w:before="0"/>
      </w:pPr>
      <w:r>
        <w:rPr>
          <w:rFonts w:ascii="Calibri" w:hAnsi="Calibri"/>
          <w:b w:val="0"/>
          <w:i/>
          <w:color w:val="5B6E7A"/>
          <w:sz w:val="17"/>
        </w:rPr>
        <w:t>Not carried out in this evaluation. This report covers the tests listed in the summary above; the remaining tests of the form are shown here so that the section numbering matches the published format and the omission is explicit.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12.  Electrical disturbances</w:t>
      </w:r>
    </w:p>
    <w:p>
      <w:pPr>
        <w:keepNext/>
        <w:spacing w:after="40" w:before="0"/>
      </w:pPr>
      <w:r>
        <w:rPr>
          <w:rFonts w:ascii="Calibri" w:hAnsi="Calibri"/>
          <w:b w:val="0"/>
          <w:i w:val="0"/>
          <w:color w:val="5B6E7A"/>
          <w:sz w:val="18"/>
        </w:rPr>
        <w:t>B.3</w:t>
      </w:r>
    </w:p>
    <w:p>
      <w:pPr>
        <w:keepNext/>
        <w:spacing w:after="80" w:before="0"/>
      </w:pPr>
      <w:r>
        <w:rPr>
          <w:rFonts w:ascii="Calibri" w:hAnsi="Calibri"/>
          <w:b w:val="0"/>
          <w:i/>
          <w:color w:val="5B6E7A"/>
          <w:sz w:val="17"/>
        </w:rPr>
        <w:t>The difference between the indication with and without the disturbance shall not exceed 1 e, or the instrument shall detect and react to a significant fault.</w:t>
      </w:r>
    </w:p>
    <w:p>
      <w:pPr>
        <w:spacing w:after="0"/>
      </w:pPr>
      <w:r>
        <w:rPr>
          <w:sz w:val="18"/>
        </w:rPr>
        <w:t>[[TABLE:tbl_disturbances]]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13.  Damp heat, steady state</w:t>
      </w:r>
    </w:p>
    <w:p>
      <w:pPr>
        <w:keepNext w:val="0"/>
        <w:spacing w:after="40" w:before="0"/>
      </w:pPr>
      <w:r>
        <w:rPr>
          <w:rFonts w:ascii="Calibri" w:hAnsi="Calibri"/>
          <w:b w:val="0"/>
          <w:i/>
          <w:color w:val="5B6E7A"/>
          <w:sz w:val="17"/>
        </w:rPr>
        <w:t>Not carried out in this evaluation. This report covers the tests listed in the summary above; the remaining tests of the form are shown here so that the section numbering matches the published format and the omission is explicit.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14.  Span stability</w:t>
      </w:r>
    </w:p>
    <w:p>
      <w:pPr>
        <w:keepNext w:val="0"/>
        <w:spacing w:after="40" w:before="0"/>
      </w:pPr>
      <w:r>
        <w:rPr>
          <w:rFonts w:ascii="Calibri" w:hAnsi="Calibri"/>
          <w:b w:val="0"/>
          <w:i/>
          <w:color w:val="5B6E7A"/>
          <w:sz w:val="17"/>
        </w:rPr>
        <w:t>Not carried out in this evaluation. This report covers the tests listed in the summary above; the remaining tests of the form are shown here so that the section numbering matches the published format and the omission is explicit.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15.  Endurance</w:t>
      </w:r>
    </w:p>
    <w:p>
      <w:pPr>
        <w:keepNext w:val="0"/>
        <w:spacing w:after="40" w:before="0"/>
      </w:pPr>
      <w:r>
        <w:rPr>
          <w:rFonts w:ascii="Calibri" w:hAnsi="Calibri"/>
          <w:b w:val="0"/>
          <w:i/>
          <w:color w:val="5B6E7A"/>
          <w:sz w:val="17"/>
        </w:rPr>
        <w:t>Not carried out in this evaluation. This report covers the tests listed in the summary above; the remaining tests of the form are shown here so that the section numbering matches the published format and the omission is explicit.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16.  Examination of the construction of the instrument</w:t>
      </w:r>
    </w:p>
    <w:p>
      <w:pPr>
        <w:keepNext w:val="0"/>
        <w:spacing w:after="40" w:before="0"/>
      </w:pPr>
      <w:r>
        <w:rPr>
          <w:rFonts w:ascii="Calibri" w:hAnsi="Calibri"/>
          <w:b w:val="0"/>
          <w:i/>
          <w:color w:val="5B6E7A"/>
          <w:sz w:val="17"/>
        </w:rPr>
        <w:t>Not carried out in this evaluation. This report covers the tests listed in the summary above; the remaining tests of the form are shown here so that the section numbering matches the published format and the omission is explicit.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17.  Checklist</w:t>
      </w:r>
    </w:p>
    <w:p>
      <w:pPr>
        <w:keepNext w:val="0"/>
        <w:spacing w:after="40" w:before="0"/>
      </w:pPr>
      <w:r>
        <w:rPr>
          <w:rFonts w:ascii="Calibri" w:hAnsi="Calibri"/>
          <w:b w:val="0"/>
          <w:i/>
          <w:color w:val="5B6E7A"/>
          <w:sz w:val="17"/>
        </w:rPr>
        <w:t>Not carried out in this evaluation. This report covers the tests listed in the summary above; the remaining tests of the form are shown here so that the section numbering matches the published format and the omission is explicit.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4"/>
        </w:rPr>
        <w:t>E.  Conclusion</w:t>
      </w:r>
    </w:p>
    <w:p>
      <w:pPr>
        <w:keepNext w:val="0"/>
        <w:spacing w:after="200" w:before="0"/>
      </w:pPr>
      <w:r>
        <w:rPr>
          <w:rFonts w:ascii="Calibri" w:hAnsi="Calibri"/>
          <w:b w:val="0"/>
          <w:i w:val="0"/>
          <w:color w:val="111A22"/>
          <w:sz w:val="20"/>
        </w:rPr>
        <w:t>{{ conclusion_text }}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 w:val="true"/>
        </w:trPr>
        <w:tc>
          <w:tcPr>
            <w:tcW w:type="dxa" w:w="2948"/>
          </w:tcPr>
          <w:p>
            <w:pPr>
              <w:keepNext/>
              <w:spacing w:after="20"/>
            </w:pPr>
            <w:r>
              <w:rPr>
                <w:color w:val="5B6E7A"/>
                <w:sz w:val="18"/>
              </w:rPr>
              <w:t>Overall verdict</w:t>
            </w:r>
          </w:p>
        </w:tc>
        <w:tc>
          <w:tcPr>
            <w:tcW w:type="dxa" w:w="6917"/>
          </w:tcPr>
          <w:p>
            <w:pPr>
              <w:keepNext/>
              <w:spacing w:after="20"/>
            </w:pPr>
            <w:r>
              <w:rPr>
                <w:sz w:val="18"/>
              </w:rPr>
              <w:t>{{ computed.verdict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keepNext/>
              <w:spacing w:after="20"/>
            </w:pPr>
            <w:r>
              <w:rPr>
                <w:color w:val="5B6E7A"/>
                <w:sz w:val="18"/>
              </w:rPr>
              <w:t>Standard applied</w:t>
            </w:r>
          </w:p>
        </w:tc>
        <w:tc>
          <w:tcPr>
            <w:tcW w:type="dxa" w:w="6917"/>
          </w:tcPr>
          <w:p>
            <w:pPr>
              <w:keepNext/>
              <w:spacing w:after="20"/>
            </w:pPr>
            <w:r>
              <w:rPr>
                <w:sz w:val="18"/>
              </w:rPr>
              <w:t>{{ standard_id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keepNext/>
              <w:spacing w:after="20"/>
            </w:pPr>
            <w:r>
              <w:rPr>
                <w:color w:val="5B6E7A"/>
                <w:sz w:val="18"/>
              </w:rPr>
              <w:t>Independent recompute</w:t>
            </w:r>
          </w:p>
        </w:tc>
        <w:tc>
          <w:tcPr>
            <w:tcW w:type="dxa" w:w="6917"/>
          </w:tcPr>
          <w:p>
            <w:pPr>
              <w:keepNext/>
              <w:spacing w:after="20"/>
            </w:pPr>
            <w:r>
              <w:rPr>
                <w:sz w:val="18"/>
              </w:rPr>
              <w:t>{{ 'server reproduced every client verdict' if computed.agrees_with_client else 'DIVERGENCE — see below' }}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color w:val="5B6E7A"/>
                <w:sz w:val="18"/>
              </w:rPr>
              <w:t>Payload digest (SHA-256)</w:t>
            </w:r>
          </w:p>
        </w:tc>
        <w:tc>
          <w:tcPr>
            <w:tcW w:type="dxa" w:w="6917"/>
          </w:tcPr>
          <w:p>
            <w:pPr>
              <w:spacing w:after="20"/>
            </w:pPr>
            <w:r>
              <w:rPr>
                <w:sz w:val="18"/>
              </w:rPr>
              <w:t>{{ payload_sha256 }}</w:t>
            </w:r>
          </w:p>
        </w:tc>
      </w:tr>
    </w:tbl>
    <w:p>
      <w:pPr>
        <w:keepNext/>
        <w:spacing w:after="40" w:before="160"/>
      </w:pPr>
      <w:r>
        <w:rPr>
          <w:rFonts w:ascii="Calibri" w:hAnsi="Calibri"/>
          <w:b w:val="0"/>
          <w:i w:val="0"/>
          <w:color w:val="5B6E7A"/>
          <w:sz w:val="18"/>
        </w:rPr>
        <w:t>Places where the verification seal or stamp may be affixed (Approval of Models Rules, 2011, Rule 11(1)(g)):</w:t>
      </w:r>
    </w:p>
    <w:p>
      <w:pPr>
        <w:keepNext w:val="0"/>
        <w:spacing w:after="0" w:before="0"/>
      </w:pPr>
      <w:r>
        <w:rPr>
          <w:rFonts w:ascii="Calibri" w:hAnsi="Calibri"/>
          <w:b w:val="0"/>
          <w:i w:val="0"/>
          <w:color w:val="111A22"/>
          <w:sz w:val="20"/>
        </w:rPr>
        <w:t>{{ seal_locations or '—' }}</w:t>
      </w:r>
    </w:p>
    <w:p>
      <w:pPr>
        <w:keepNext/>
        <w:spacing w:after="60" w:before="160"/>
        <w:pBdr>
          <w:bottom w:val="single" w:sz="6" w:space="2" w:color="D5DCE0"/>
        </w:pBdr>
      </w:pPr>
      <w:r>
        <w:rPr>
          <w:rFonts w:ascii="Calibri" w:hAnsi="Calibri"/>
          <w:b/>
          <w:i w:val="0"/>
          <w:color w:val="111A22"/>
          <w:sz w:val="22"/>
        </w:rPr>
        <w:t>F.  Signatures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 w:val="true"/>
        </w:trPr>
        <w:tc>
          <w:tcPr>
            <w:tcW w:type="dxa" w:w="3289"/>
            <w:shd w:val="clear" w:fill="EDF1F2"/>
          </w:tcPr>
          <w:p>
            <w:pPr>
              <w:keepNext/>
            </w:pPr>
            <w:r>
              <w:rPr>
                <w:b/>
                <w:color w:val="5B6E7A"/>
                <w:sz w:val="16"/>
              </w:rPr>
              <w:t>Tested by</w:t>
            </w:r>
          </w:p>
        </w:tc>
        <w:tc>
          <w:tcPr>
            <w:tcW w:type="dxa" w:w="3289"/>
            <w:shd w:val="clear" w:fill="EDF1F2"/>
          </w:tcPr>
          <w:p>
            <w:pPr>
              <w:keepNext/>
            </w:pPr>
            <w:r>
              <w:rPr>
                <w:b/>
                <w:color w:val="5B6E7A"/>
                <w:sz w:val="16"/>
              </w:rPr>
              <w:t>Verified by</w:t>
            </w:r>
          </w:p>
        </w:tc>
        <w:tc>
          <w:tcPr>
            <w:tcW w:type="dxa" w:w="3289"/>
            <w:shd w:val="clear" w:fill="EDF1F2"/>
          </w:tcPr>
          <w:p>
            <w:pPr>
              <w:keepNext/>
            </w:pPr>
            <w:r>
              <w:rPr>
                <w:b/>
                <w:color w:val="5B6E7A"/>
                <w:sz w:val="16"/>
              </w:rPr>
              <w:t>Approved by</w:t>
            </w:r>
          </w:p>
        </w:tc>
      </w:tr>
      <w:tr>
        <w:trPr>
          <w:cantSplit w:val="true"/>
        </w:trPr>
        <w:tc>
          <w:tcPr>
            <w:tcW w:type="dxa" w:w="3289"/>
          </w:tcPr>
          <w:p>
            <w:r>
              <w:rPr>
                <w:sz w:val="20"/>
              </w:rPr>
              <w:t>{{ tested_by or '' }}</w:t>
            </w:r>
          </w:p>
          <w:p>
            <w:pPr>
              <w:spacing w:before="400"/>
            </w:pPr>
            <w:r>
              <w:rPr>
                <w:color w:val="5B6E7A"/>
                <w:sz w:val="15"/>
              </w:rPr>
              <w:t>signature and date</w:t>
            </w:r>
          </w:p>
        </w:tc>
        <w:tc>
          <w:tcPr>
            <w:tcW w:type="dxa" w:w="3289"/>
          </w:tcPr>
          <w:p>
            <w:r>
              <w:rPr>
                <w:sz w:val="20"/>
              </w:rPr>
              <w:t>{{ verified_by or '' }}</w:t>
            </w:r>
          </w:p>
          <w:p>
            <w:pPr>
              <w:spacing w:before="400"/>
            </w:pPr>
            <w:r>
              <w:rPr>
                <w:color w:val="5B6E7A"/>
                <w:sz w:val="15"/>
              </w:rPr>
              <w:t>signature and date</w:t>
            </w:r>
          </w:p>
        </w:tc>
        <w:tc>
          <w:tcPr>
            <w:tcW w:type="dxa" w:w="3289"/>
          </w:tcPr>
          <w:p>
            <w:r>
              <w:rPr>
                <w:sz w:val="20"/>
              </w:rPr>
              <w:t>{{ approved_by or '' }}</w:t>
            </w:r>
          </w:p>
          <w:p>
            <w:pPr>
              <w:spacing w:before="400"/>
            </w:pPr>
            <w:r>
              <w:rPr>
                <w:color w:val="5B6E7A"/>
                <w:sz w:val="15"/>
              </w:rPr>
              <w:t>signature and date</w:t>
            </w:r>
          </w:p>
        </w:tc>
      </w:tr>
    </w:tbl>
    <w:p>
      <w:pPr>
        <w:keepNext w:val="0"/>
        <w:spacing w:after="40" w:before="280"/>
      </w:pPr>
      <w:r>
        <w:rPr>
          <w:rFonts w:ascii="Calibri" w:hAnsi="Calibri"/>
          <w:b/>
          <w:i w:val="0"/>
          <w:color w:val="B3321C"/>
          <w:sz w:val="18"/>
        </w:rPr>
        <w:t>{{ synthetic_notice }}</w:t>
      </w:r>
    </w:p>
    <w:p>
      <w:pPr>
        <w:keepNext w:val="0"/>
        <w:spacing w:after="80" w:before="0"/>
      </w:pPr>
      <w:r>
        <w:rPr>
          <w:rFonts w:ascii="Calibri" w:hAnsi="Calibri"/>
          <w:b w:val="0"/>
          <w:i w:val="0"/>
          <w:color w:val="5B6E7A"/>
          <w:sz w:val="16"/>
        </w:rPr>
        <w:t>Generated by the NAWI type-evaluation system. Clause references are to {{ standard_title }}; the corresponding Indian provisions are in the Legal Metrology (General) Rules, 2011, Seventh Schedule, Heading A.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E7A"/>
        <w:sz w:val="16"/>
      </w:rPr>
      <w:t xml:space="preserve">{{ ref }}    ·    Report page </w:t>
    </w:r>
    <w:r>
      <w:rPr>
        <w:color w:val="5B6E7A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