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eastAsia="Times New Roman"/>
          <w:b/>
          <w:sz w:val="36"/>
        </w:rPr>
        <w:t>MASTER’S THESIS RESEARCH PROPOSAL</w:t>
      </w:r>
    </w:p>
    <w:p>
      <w:pPr>
        <w:jc w:val="center"/>
      </w:pPr>
      <w:r>
        <w:rPr>
          <w:rFonts w:ascii="Times New Roman" w:hAnsi="Times New Roman" w:eastAsia="Times New Roman"/>
          <w:b/>
          <w:sz w:val="44"/>
        </w:rPr>
        <w:t>FROM HEAT WARNING TO SCHOOL ACTION</w:t>
      </w:r>
    </w:p>
    <w:p>
      <w:pPr>
        <w:jc w:val="center"/>
      </w:pPr>
      <w:r>
        <w:rPr>
          <w:rFonts w:ascii="Times New Roman" w:hAnsi="Times New Roman" w:eastAsia="Times New Roman"/>
          <w:b/>
          <w:sz w:val="28"/>
        </w:rPr>
        <w:t>Institutional Translation, Actionability and Protective Continuity in Government Schools of West Delhi, India</w:t>
      </w:r>
    </w:p>
    <w:p>
      <w:pPr>
        <w:jc w:val="center"/>
      </w:pPr>
      <w:r>
        <w:rPr>
          <w:rFonts w:ascii="Times New Roman" w:hAnsi="Times New Roman" w:eastAsia="Times New Roman"/>
          <w:i/>
          <w:sz w:val="24"/>
        </w:rPr>
        <w:t>Developing and empirically refining a School Heat Governance Translation Framework (SHGTF)</w:t>
      </w:r>
    </w:p>
    <w:p/>
    <w:p/>
    <w:p/>
    <w:p>
      <w:pPr>
        <w:jc w:val="center"/>
      </w:pPr>
      <w:r>
        <w:rPr>
          <w:rFonts w:ascii="Times New Roman" w:hAnsi="Times New Roman" w:eastAsia="Times New Roman"/>
          <w:sz w:val="22"/>
        </w:rPr>
        <w:t>Researcher: Hitesh</w:t>
      </w:r>
    </w:p>
    <w:p>
      <w:pPr>
        <w:jc w:val="center"/>
      </w:pPr>
      <w:r>
        <w:rPr>
          <w:rFonts w:ascii="Times New Roman" w:hAnsi="Times New Roman" w:eastAsia="Times New Roman"/>
          <w:sz w:val="22"/>
        </w:rPr>
        <w:t>Programme: Master’s Programme (JDS Scholarship)</w:t>
      </w:r>
    </w:p>
    <w:p>
      <w:pPr>
        <w:jc w:val="center"/>
      </w:pPr>
      <w:r>
        <w:rPr>
          <w:rFonts w:ascii="Times New Roman" w:hAnsi="Times New Roman" w:eastAsia="Times New Roman"/>
          <w:sz w:val="22"/>
        </w:rPr>
        <w:t>Institution: Graduate School of International Cooperation Studies (GSICS), Kobe University</w:t>
      </w:r>
    </w:p>
    <w:p>
      <w:pPr>
        <w:jc w:val="center"/>
      </w:pPr>
      <w:r>
        <w:rPr>
          <w:rFonts w:ascii="Times New Roman" w:hAnsi="Times New Roman" w:eastAsia="Times New Roman"/>
          <w:sz w:val="22"/>
        </w:rPr>
        <w:t>Supervisor: Professor Aiko Sakurai</w:t>
      </w:r>
    </w:p>
    <w:p>
      <w:pPr>
        <w:jc w:val="center"/>
      </w:pPr>
      <w:r>
        <w:rPr>
          <w:rFonts w:ascii="Times New Roman" w:hAnsi="Times New Roman" w:eastAsia="Times New Roman"/>
          <w:sz w:val="22"/>
        </w:rPr>
        <w:t>Study area: Selected Directorate of Education government schools in West Delhi (West-A and West-B)</w:t>
      </w:r>
    </w:p>
    <w:p>
      <w:pPr>
        <w:jc w:val="center"/>
      </w:pPr>
      <w:r>
        <w:rPr>
          <w:rFonts w:ascii="Times New Roman" w:hAnsi="Times New Roman" w:eastAsia="Times New Roman"/>
          <w:sz w:val="22"/>
        </w:rPr>
        <w:t>Design: Qualitative explanatory multi-school case study; theory-refining and realist-informed analysis</w:t>
      </w:r>
    </w:p>
    <w:p>
      <w:pPr>
        <w:jc w:val="center"/>
      </w:pPr>
      <w:r>
        <w:rPr>
          <w:rFonts w:ascii="Times New Roman" w:hAnsi="Times New Roman" w:eastAsia="Times New Roman"/>
          <w:sz w:val="22"/>
        </w:rPr>
        <w:t>Version: Deep critical and APA-referenced revision — August 2026</w:t>
      </w:r>
    </w:p>
    <w:p>
      <w:r>
        <w:br w:type="page"/>
      </w:r>
    </w:p>
    <w:p>
      <w:pPr>
        <w:pStyle w:val="Heading1"/>
      </w:pPr>
      <w:r>
        <w:t>CORE THESIS AND CLAIM BOUNDARIES</w:t>
      </w:r>
    </w:p>
    <w:p>
      <w:pPr>
        <w:spacing w:after="100" w:line="283" w:lineRule="auto"/>
      </w:pPr>
      <w:r>
        <w:rPr>
          <w:rFonts w:ascii="Times New Roman" w:hAnsi="Times New Roman" w:eastAsia="Times New Roman"/>
          <w:i w:val="0"/>
          <w:sz w:val="22"/>
        </w:rPr>
        <w:t>This proposal is built around a narrower and more falsifiable claim than the earlier “heat is not institutionalised” formulation. Delhi already has a formal Heat Wave Action Plan, national heat guidance, impact-based meteorological products, education-sector responsibilities and an administrative chain capable of issuing school directions. The study therefore does not ask whether heat policy exists. It asks whether this formal architecture is translated into clear, authorised, feasible and child-protective school action under heterogeneous school conditions (DDMA, 2025; IMD, 2026; Ministry of Education, 2022).</w:t>
      </w:r>
    </w:p>
    <w:p>
      <w:pPr>
        <w:spacing w:after="100" w:line="283" w:lineRule="auto"/>
      </w:pPr>
      <w:r>
        <w:rPr>
          <w:rFonts w:ascii="Times New Roman" w:hAnsi="Times New Roman" w:eastAsia="Times New Roman"/>
          <w:i w:val="0"/>
          <w:sz w:val="22"/>
        </w:rPr>
        <w:t>The central argument is that the last-mile problem may persist even after a warning arrives. Heat governance can fail at multiple points: preparedness may be weak before the warning; the warning may be received but not converted into school-specific decision rules; authority may be unclear; the action may be infeasible under local material conditions; or an apparently protective action may transfer risk to the commute, household or guardian. The study treats each of these as a rival mechanism to be empirically distinguished rather than presuming one generic “institutional gap.”</w:t>
      </w:r>
    </w:p>
    <w:p>
      <w:pPr>
        <w:spacing w:after="100" w:line="283" w:lineRule="auto"/>
      </w:pPr>
      <w:r>
        <w:rPr>
          <w:rFonts w:ascii="Times New Roman" w:hAnsi="Times New Roman" w:eastAsia="Times New Roman"/>
          <w:i w:val="0"/>
          <w:sz w:val="22"/>
        </w:rPr>
        <w:t>The proposed School Heat Governance Translation Framework (SHGTF) is therefore a provisional mid-range analytical framework, not a ready-made SOP and not a quantitative index. It synthesises insights from Indian heat-governance scholarship, heat-warning research, school heat-adaptation studies, educational policy-enactment theory and school disaster decision-making. It will be revised if the field evidence shows that warning non-receipt, misunderstanding or another mechanism is more important than institutional translation.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D9EAF7"/>
          </w:tcPr>
          <w:p>
            <w:pPr>
              <w:spacing w:after="0"/>
            </w:pPr>
            <w:r/>
            <w:r>
              <w:rPr>
                <w:rFonts w:ascii="Times New Roman" w:hAnsi="Times New Roman" w:eastAsia="Times New Roman"/>
                <w:b/>
                <w:sz w:val="18"/>
              </w:rPr>
              <w:t>What the study can claim</w:t>
            </w:r>
          </w:p>
        </w:tc>
        <w:tc>
          <w:tcPr>
            <w:tcW w:type="dxa" w:w="5040"/>
            <w:vAlign w:val="top"/>
            <w:shd w:fill="D9EAF7"/>
          </w:tcPr>
          <w:p>
            <w:pPr>
              <w:spacing w:after="0"/>
            </w:pPr>
            <w:r/>
            <w:r>
              <w:rPr>
                <w:rFonts w:ascii="Times New Roman" w:hAnsi="Times New Roman" w:eastAsia="Times New Roman"/>
                <w:b/>
                <w:sz w:val="18"/>
              </w:rPr>
              <w:t>What the study will not claim</w:t>
            </w:r>
          </w:p>
        </w:tc>
      </w:tr>
      <w:tr>
        <w:tc>
          <w:tcPr>
            <w:tcW w:type="dxa" w:w="5040"/>
            <w:vAlign w:val="top"/>
          </w:tcPr>
          <w:p>
            <w:pPr>
              <w:spacing w:after="0"/>
            </w:pPr>
            <w:r/>
            <w:r>
              <w:rPr>
                <w:rFonts w:ascii="Times New Roman" w:hAnsi="Times New Roman" w:eastAsia="Times New Roman"/>
                <w:b w:val="0"/>
                <w:sz w:val="18"/>
              </w:rPr>
              <w:t>Mechanisms that explain variation in how selected West Delhi schools translate heat-risk information into action.</w:t>
            </w:r>
          </w:p>
        </w:tc>
        <w:tc>
          <w:tcPr>
            <w:tcW w:type="dxa" w:w="5040"/>
            <w:vAlign w:val="top"/>
          </w:tcPr>
          <w:p>
            <w:pPr>
              <w:spacing w:after="0"/>
            </w:pPr>
            <w:r/>
            <w:r>
              <w:rPr>
                <w:rFonts w:ascii="Times New Roman" w:hAnsi="Times New Roman" w:eastAsia="Times New Roman"/>
                <w:b w:val="0"/>
                <w:sz w:val="18"/>
              </w:rPr>
              <w:t>That West Delhi findings statistically represent all Delhi or Indian schools.</w:t>
            </w:r>
          </w:p>
        </w:tc>
      </w:tr>
      <w:tr>
        <w:tc>
          <w:tcPr>
            <w:tcW w:type="dxa" w:w="5040"/>
            <w:vAlign w:val="top"/>
          </w:tcPr>
          <w:p>
            <w:pPr>
              <w:spacing w:after="0"/>
            </w:pPr>
            <w:r/>
            <w:r>
              <w:rPr>
                <w:rFonts w:ascii="Times New Roman" w:hAnsi="Times New Roman" w:eastAsia="Times New Roman"/>
                <w:b w:val="0"/>
                <w:sz w:val="18"/>
              </w:rPr>
              <w:t>Whether policy, principal, teacher and observed practice are coherent or divergent in specific cases.</w:t>
            </w:r>
          </w:p>
        </w:tc>
        <w:tc>
          <w:tcPr>
            <w:tcW w:type="dxa" w:w="5040"/>
            <w:vAlign w:val="top"/>
          </w:tcPr>
          <w:p>
            <w:pPr>
              <w:spacing w:after="0"/>
            </w:pPr>
            <w:r/>
            <w:r>
              <w:rPr>
                <w:rFonts w:ascii="Times New Roman" w:hAnsi="Times New Roman" w:eastAsia="Times New Roman"/>
                <w:b w:val="0"/>
                <w:sz w:val="18"/>
              </w:rPr>
              <w:t>That any divergence automatically proves negligence, irrationality or non-compliance.</w:t>
            </w:r>
          </w:p>
        </w:tc>
      </w:tr>
      <w:tr>
        <w:tc>
          <w:tcPr>
            <w:tcW w:type="dxa" w:w="5040"/>
            <w:vAlign w:val="top"/>
          </w:tcPr>
          <w:p>
            <w:pPr>
              <w:spacing w:after="0"/>
            </w:pPr>
            <w:r/>
            <w:r>
              <w:rPr>
                <w:rFonts w:ascii="Times New Roman" w:hAnsi="Times New Roman" w:eastAsia="Times New Roman"/>
                <w:b w:val="0"/>
                <w:sz w:val="18"/>
              </w:rPr>
              <w:t>Which aspects of the provisional SHGTF are supported, rejected or need modification.</w:t>
            </w:r>
          </w:p>
        </w:tc>
        <w:tc>
          <w:tcPr>
            <w:tcW w:type="dxa" w:w="5040"/>
            <w:vAlign w:val="top"/>
          </w:tcPr>
          <w:p>
            <w:pPr>
              <w:spacing w:after="0"/>
            </w:pPr>
            <w:r/>
            <w:r>
              <w:rPr>
                <w:rFonts w:ascii="Times New Roman" w:hAnsi="Times New Roman" w:eastAsia="Times New Roman"/>
                <w:b w:val="0"/>
                <w:sz w:val="18"/>
              </w:rPr>
              <w:t>That the SHGTF is “validated” before or by a small qualitative study.</w:t>
            </w:r>
          </w:p>
        </w:tc>
      </w:tr>
      <w:tr>
        <w:tc>
          <w:tcPr>
            <w:tcW w:type="dxa" w:w="5040"/>
            <w:vAlign w:val="top"/>
          </w:tcPr>
          <w:p>
            <w:pPr>
              <w:spacing w:after="0"/>
            </w:pPr>
            <w:r/>
            <w:r>
              <w:rPr>
                <w:rFonts w:ascii="Times New Roman" w:hAnsi="Times New Roman" w:eastAsia="Times New Roman"/>
                <w:b w:val="0"/>
                <w:sz w:val="18"/>
              </w:rPr>
              <w:t>A field-informed beta set of governance functions for later adaptation.</w:t>
            </w:r>
          </w:p>
        </w:tc>
        <w:tc>
          <w:tcPr>
            <w:tcW w:type="dxa" w:w="5040"/>
            <w:vAlign w:val="top"/>
          </w:tcPr>
          <w:p>
            <w:pPr>
              <w:spacing w:after="0"/>
            </w:pPr>
            <w:r/>
            <w:r>
              <w:rPr>
                <w:rFonts w:ascii="Times New Roman" w:hAnsi="Times New Roman" w:eastAsia="Times New Roman"/>
                <w:b w:val="0"/>
                <w:sz w:val="18"/>
              </w:rPr>
              <w:t>A legally authorised national school heatwave SOP.</w:t>
            </w:r>
          </w:p>
        </w:tc>
      </w:tr>
    </w:tbl>
    <w:p>
      <w:pPr>
        <w:pStyle w:val="Heading1"/>
      </w:pPr>
      <w:r>
        <w:t>ABSTRACT</w:t>
      </w:r>
    </w:p>
    <w:p>
      <w:pPr>
        <w:spacing w:after="100" w:line="283" w:lineRule="auto"/>
      </w:pPr>
      <w:r>
        <w:rPr>
          <w:rFonts w:ascii="Times New Roman" w:hAnsi="Times New Roman" w:eastAsia="Times New Roman"/>
          <w:i w:val="0"/>
          <w:sz w:val="22"/>
        </w:rPr>
        <w:t>Delhi presents a governance paradox rather than a policy vacuum. The city has a Heat Wave Action Plan, education-sector provisions, impact-based weather warnings and national school precautions; however, the existence of these instruments does not establish that their content is translated into clear school-level decision rules. Indian heat-governance research finds that Heat Action Plans can proliferate while long-term institutional capacity, intersectoral coordination, local contextualisation, monitoring and accountability remain uneven (Dasgupta et al., 2025; Khandekar et al., 2024; Kotharkar &amp; Ghosh, 2022; Singh et al., 2024). At the same time, school-heat research demonstrates thermal, health, leadership and infrastructure constraints but generally stops short of tracing how a formal warning is enacted through school authority, routines and duty of care (Dunlop et al., 2026; Hudson et al., 2026; Lala &amp; Hagishima, 2023; Xiong &amp; He, 2024).</w:t>
      </w:r>
    </w:p>
    <w:p>
      <w:pPr>
        <w:spacing w:after="100" w:line="283" w:lineRule="auto"/>
      </w:pPr>
      <w:r>
        <w:rPr>
          <w:rFonts w:ascii="Times New Roman" w:hAnsi="Times New Roman" w:eastAsia="Times New Roman"/>
          <w:i w:val="0"/>
          <w:sz w:val="22"/>
        </w:rPr>
        <w:t>This study addresses that micro-institutional translation problem in selected Directorate of Education government schools in West Delhi. It develops a provisional School Heat Governance Translation Framework (SHGTF) centred on institutional heat actionability: the capacity of a school to convert authoritative heat-risk information and government guidance into timely, authorised, feasible, proportionate and child-protective action. The framework distinguishes formal policy specification, pre-season preparedness, interpretive coherence, decision jurisdiction, operational feasibility, protective continuity and institutional learning. It also treats situated, material, professional and external school contexts as conditions that may alter how identical policy is enacted (Braun et al., 2011; Hay, 2025).</w:t>
      </w:r>
    </w:p>
    <w:p>
      <w:pPr>
        <w:spacing w:after="100" w:line="283" w:lineRule="auto"/>
      </w:pPr>
      <w:r>
        <w:rPr>
          <w:rFonts w:ascii="Times New Roman" w:hAnsi="Times New Roman" w:eastAsia="Times New Roman"/>
          <w:i w:val="0"/>
          <w:sz w:val="22"/>
        </w:rPr>
        <w:t>Methodologically, policy documents reconstruct the formal pathway, while matched principal and teacher interviews reconstruct the lived pathway. The same scenario vignettes will be administered separately to both actors to expose agreement, divergence and reasoning about escalation, authority, feasibility and delayed guardian collection. Zonal/DoE/DDMA informants, school records, structured observation and limited heat-season situational evidence will be used for triangulation. Analysis combines the Framework Method with realist-informed Context–Mechanism–Outcome reasoning and explicit rival-explanation testing. The expected contribution is an empirically revised account of how school heat governance becomes—or fails to become—actionable, not a universal SOP.</w:t>
      </w:r>
    </w:p>
    <w:p>
      <w:pPr>
        <w:spacing w:after="100" w:line="283" w:lineRule="auto"/>
      </w:pPr>
      <w:r>
        <w:rPr>
          <w:rFonts w:ascii="Times New Roman" w:hAnsi="Times New Roman" w:eastAsia="Times New Roman"/>
          <w:i w:val="0"/>
          <w:sz w:val="22"/>
        </w:rPr>
        <w:t>Keywords: extreme heat; schools; policy enactment; heat action plans; early warning; institutional actionability; institutional coherence; child protection; West Delhi; qualitative case study</w:t>
      </w:r>
    </w:p>
    <w:p>
      <w:pPr>
        <w:pStyle w:val="Heading1"/>
      </w:pPr>
      <w:r>
        <w:t>CONTENTS</w:t>
      </w:r>
    </w:p>
    <w:p>
      <w:pPr>
        <w:spacing w:after="20" w:line="283" w:lineRule="auto"/>
      </w:pPr>
      <w:r>
        <w:rPr>
          <w:rFonts w:ascii="Times New Roman" w:hAnsi="Times New Roman" w:eastAsia="Times New Roman"/>
          <w:i w:val="0"/>
          <w:sz w:val="22"/>
        </w:rPr>
        <w:t>1. Introduction and problem formulation</w:t>
      </w:r>
    </w:p>
    <w:p>
      <w:pPr>
        <w:spacing w:after="20" w:line="283" w:lineRule="auto"/>
      </w:pPr>
      <w:r>
        <w:rPr>
          <w:rFonts w:ascii="Times New Roman" w:hAnsi="Times New Roman" w:eastAsia="Times New Roman"/>
          <w:i w:val="0"/>
          <w:sz w:val="22"/>
        </w:rPr>
        <w:t>2. Critical review of policy and scholarship</w:t>
      </w:r>
    </w:p>
    <w:p>
      <w:pPr>
        <w:spacing w:after="20" w:line="283" w:lineRule="auto"/>
      </w:pPr>
      <w:r>
        <w:rPr>
          <w:rFonts w:ascii="Times New Roman" w:hAnsi="Times New Roman" w:eastAsia="Times New Roman"/>
          <w:i w:val="0"/>
          <w:sz w:val="22"/>
        </w:rPr>
        <w:t>3. Critical arguments and rival explanations</w:t>
      </w:r>
    </w:p>
    <w:p>
      <w:pPr>
        <w:spacing w:after="20" w:line="283" w:lineRule="auto"/>
      </w:pPr>
      <w:r>
        <w:rPr>
          <w:rFonts w:ascii="Times New Roman" w:hAnsi="Times New Roman" w:eastAsia="Times New Roman"/>
          <w:i w:val="0"/>
          <w:sz w:val="22"/>
        </w:rPr>
        <w:t>4. School Heat Governance Translation Framework (SHGTF)</w:t>
      </w:r>
    </w:p>
    <w:p>
      <w:pPr>
        <w:spacing w:after="20" w:line="283" w:lineRule="auto"/>
      </w:pPr>
      <w:r>
        <w:rPr>
          <w:rFonts w:ascii="Times New Roman" w:hAnsi="Times New Roman" w:eastAsia="Times New Roman"/>
          <w:i w:val="0"/>
          <w:sz w:val="22"/>
        </w:rPr>
        <w:t>5. Research questions and propositions</w:t>
      </w:r>
    </w:p>
    <w:p>
      <w:pPr>
        <w:spacing w:after="20" w:line="283" w:lineRule="auto"/>
      </w:pPr>
      <w:r>
        <w:rPr>
          <w:rFonts w:ascii="Times New Roman" w:hAnsi="Times New Roman" w:eastAsia="Times New Roman"/>
          <w:i w:val="0"/>
          <w:sz w:val="22"/>
        </w:rPr>
        <w:t>6. Methodology</w:t>
      </w:r>
    </w:p>
    <w:p>
      <w:pPr>
        <w:spacing w:after="20" w:line="283" w:lineRule="auto"/>
      </w:pPr>
      <w:r>
        <w:rPr>
          <w:rFonts w:ascii="Times New Roman" w:hAnsi="Times New Roman" w:eastAsia="Times New Roman"/>
          <w:i w:val="0"/>
          <w:sz w:val="22"/>
        </w:rPr>
        <w:t>7. Data analysis and framework refinement</w:t>
      </w:r>
    </w:p>
    <w:p>
      <w:pPr>
        <w:spacing w:after="20" w:line="283" w:lineRule="auto"/>
      </w:pPr>
      <w:r>
        <w:rPr>
          <w:rFonts w:ascii="Times New Roman" w:hAnsi="Times New Roman" w:eastAsia="Times New Roman"/>
          <w:i w:val="0"/>
          <w:sz w:val="22"/>
        </w:rPr>
        <w:t>8. Expected contributions, limitations and ethics</w:t>
      </w:r>
    </w:p>
    <w:p>
      <w:pPr>
        <w:spacing w:after="20" w:line="283" w:lineRule="auto"/>
      </w:pPr>
      <w:r>
        <w:rPr>
          <w:rFonts w:ascii="Times New Roman" w:hAnsi="Times New Roman" w:eastAsia="Times New Roman"/>
          <w:i w:val="0"/>
          <w:sz w:val="22"/>
        </w:rPr>
        <w:t>9. One-month paper pathway and thesis extension</w:t>
      </w:r>
    </w:p>
    <w:p>
      <w:pPr>
        <w:spacing w:after="20" w:line="283" w:lineRule="auto"/>
      </w:pPr>
      <w:r>
        <w:rPr>
          <w:rFonts w:ascii="Times New Roman" w:hAnsi="Times New Roman" w:eastAsia="Times New Roman"/>
          <w:i w:val="0"/>
          <w:sz w:val="22"/>
        </w:rPr>
        <w:t>References</w:t>
      </w:r>
    </w:p>
    <w:p>
      <w:pPr>
        <w:spacing w:after="20" w:line="283" w:lineRule="auto"/>
      </w:pPr>
      <w:r>
        <w:rPr>
          <w:rFonts w:ascii="Times New Roman" w:hAnsi="Times New Roman" w:eastAsia="Times New Roman"/>
          <w:i w:val="0"/>
          <w:sz w:val="22"/>
        </w:rPr>
        <w:t>Appendices</w:t>
      </w:r>
    </w:p>
    <w:p>
      <w:pPr>
        <w:pStyle w:val="Heading1"/>
      </w:pPr>
      <w:r>
        <w:t>1. INTRODUCTION AND PROBLEM FORMULATION</w:t>
      </w:r>
    </w:p>
    <w:p>
      <w:pPr>
        <w:pStyle w:val="Heading2"/>
      </w:pPr>
      <w:r>
        <w:t>1.1 Extreme heat is an institutional problem as well as a thermal hazard</w:t>
      </w:r>
    </w:p>
    <w:p>
      <w:pPr>
        <w:spacing w:after="100" w:line="283" w:lineRule="auto"/>
      </w:pPr>
      <w:r>
        <w:rPr>
          <w:rFonts w:ascii="Times New Roman" w:hAnsi="Times New Roman" w:eastAsia="Times New Roman"/>
          <w:i w:val="0"/>
          <w:sz w:val="22"/>
        </w:rPr>
        <w:t>Extreme heat in schools is often discussed through temperature thresholds, hydration messages or classroom comfort. Those are necessary but analytically incomplete. A government school is simultaneously a learning organisation, a custodial setting, a workplace and a node in a hierarchical public-administration system. Heat protection must therefore reconcile health risk with teaching schedules, examinations, attendance, midday meals, transport, parent availability, supervision, infrastructure and authority. A warning becomes protective only when these institutional functions can be reorganised quickly enough to reduce exposure without creating another unmanaged risk.</w:t>
      </w:r>
    </w:p>
    <w:p>
      <w:pPr>
        <w:spacing w:after="100" w:line="283" w:lineRule="auto"/>
      </w:pPr>
      <w:r>
        <w:rPr>
          <w:rFonts w:ascii="Times New Roman" w:hAnsi="Times New Roman" w:eastAsia="Times New Roman"/>
          <w:i w:val="0"/>
          <w:sz w:val="22"/>
        </w:rPr>
        <w:t>Indian evidence already establishes that children and teachers experience material heat constraints. Lala and Hagishima (2023), surveying 335 primary-school teachers across seven Indian cities, document heat discomfort, symptoms, absence and classroom constraints. Bharti et al. (2025) similarly examine children’s heat vulnerability, preparedness and policy responses in Munirka, Delhi. These studies make it difficult to defend a research gap framed merely as “heat affects children but is understudied.” The more precise unresolved question is how a formal heat-governance architecture is enacted inside public schools, and why comparable warnings may produce different operational responses.</w:t>
      </w:r>
    </w:p>
    <w:p>
      <w:pPr>
        <w:pStyle w:val="Heading2"/>
      </w:pPr>
      <w:r>
        <w:t>1.2 The formal-density paradox in Delhi</w:t>
      </w:r>
    </w:p>
    <w:p>
      <w:pPr>
        <w:spacing w:after="100" w:line="283" w:lineRule="auto"/>
      </w:pPr>
      <w:r>
        <w:rPr>
          <w:rFonts w:ascii="Times New Roman" w:hAnsi="Times New Roman" w:eastAsia="Times New Roman"/>
          <w:i w:val="0"/>
          <w:sz w:val="22"/>
        </w:rPr>
        <w:t>Delhi is not institutionally empty. The DDMA Heat Wave Action Plan 2025 includes pre-season responsibilities, education-sector actions, school timing modification, water provision, avoidance of peak-hour functioning when a heatwave is declared, restrictions on outdoor activity, training, feedback and review. Its implementation annexures also envisage measures such as school heat mapping, weather monitoring, ORS, shaded areas and heat-illness recognition (DDMA, 2025). IMD provides daily impact-based warnings, district-wise warnings and extended heat outlooks, while national Ministry of Education guidance covers timings, transport, hydration, ventilation, first aid and examinations (IMD, 2026; Ministry of Education, 2022).</w:t>
      </w:r>
    </w:p>
    <w:p>
      <w:pPr>
        <w:spacing w:after="100" w:line="283" w:lineRule="auto"/>
      </w:pPr>
      <w:r>
        <w:rPr>
          <w:rFonts w:ascii="Times New Roman" w:hAnsi="Times New Roman" w:eastAsia="Times New Roman"/>
          <w:i w:val="0"/>
          <w:sz w:val="22"/>
        </w:rPr>
        <w:t>This policy density creates the central paradox: more formal content does not necessarily mean more school-level actionability. A plan may name a department without specifying the school actor; list a precaution without clarifying the trigger; recommend a timing change without specifying decision jurisdiction; or assume resources that are unevenly available. The policy question is therefore not only “what is written?” but “what decision architecture is produced at the point of use?” This distinction is consistent with Indian HAP research showing that formal expansion can coexist with weak institutional capacity and incomplete intersectoral implementation (Dasgupta et al., 2025; Singh et al., 2024).</w:t>
      </w:r>
    </w:p>
    <w:p>
      <w:pPr>
        <w:pStyle w:val="Heading2"/>
      </w:pPr>
      <w:r>
        <w:t>1.3 Heat creates a different decision problem from bounded emergencies</w:t>
      </w:r>
    </w:p>
    <w:p>
      <w:pPr>
        <w:spacing w:after="100" w:line="283" w:lineRule="auto"/>
      </w:pPr>
      <w:r>
        <w:rPr>
          <w:rFonts w:ascii="Times New Roman" w:hAnsi="Times New Roman" w:eastAsia="Times New Roman"/>
          <w:i w:val="0"/>
          <w:sz w:val="22"/>
        </w:rPr>
        <w:t>The study does not assume that heat is categorically “less institutionalised” than fire or earthquake; that proposition must be demonstrated rather than built into the conclusion. Nevertheless, heat creates a distinctive operational problem. It is cumulative, spatially uneven and forecastable across several days, and the safest response may involve repeated adjustments rather than a single alarm-and-evacuate sequence. This makes pre-season readiness and escalation management analytically central. Hess et al. (2023) argue that effective extreme-heat preparedness spans pre-event primary prevention, early-event secondary prevention, later-event tertiary response and post-event learning. The implication for schools is that failure observed during a Red or severe condition may have been produced days or months earlier through unrepaired infrastructure, unverified parent contacts or unresolved authority boundaries.</w:t>
      </w:r>
    </w:p>
    <w:p>
      <w:pPr>
        <w:pStyle w:val="Heading2"/>
      </w:pPr>
      <w:r>
        <w:t>1.4 Why West Delhi and why a bounded case study</w:t>
      </w:r>
    </w:p>
    <w:p>
      <w:pPr>
        <w:spacing w:after="100" w:line="283" w:lineRule="auto"/>
      </w:pPr>
      <w:r>
        <w:rPr>
          <w:rFonts w:ascii="Times New Roman" w:hAnsi="Times New Roman" w:eastAsia="Times New Roman"/>
          <w:i w:val="0"/>
          <w:sz w:val="22"/>
        </w:rPr>
        <w:t>The study is deliberately limited to DoE-managed government schools in West Delhi, particularly West-A and West-B. Delhi exhibits pronounced intra-urban variation in thermal exposure and heat risk; Kacker et al. (2024) show that physical heat stress and composite vulnerability do not map identically, while Yadav and Sharma (2018) demonstrate substantial spatial variation in Delhi’s urban heat island. The West Delhi case is therefore justified by a combination of heat exposure, administrative manageability and school-context variation rather than by an unsupported claim that West Delhi is the single “most vulnerable” district.</w:t>
      </w:r>
    </w:p>
    <w:p>
      <w:pPr>
        <w:spacing w:after="100" w:line="283" w:lineRule="auto"/>
      </w:pPr>
      <w:r>
        <w:rPr>
          <w:rFonts w:ascii="Times New Roman" w:hAnsi="Times New Roman" w:eastAsia="Times New Roman"/>
          <w:i w:val="0"/>
          <w:sz w:val="22"/>
        </w:rPr>
        <w:t>A bounded West Delhi design also addresses a criticism raised by Khandekar et al. (2024): heat-governance templates can lose contextual meaning as they travel across scales. The purpose of this study is not to reproduce a generic heat framework at another scale, but to examine how one formal metropolitan system is enacted across heterogeneous schools exposed to the same broad governance environment.</w:t>
      </w:r>
    </w:p>
    <w:p>
      <w:pPr>
        <w:pStyle w:val="Heading1"/>
      </w:pPr>
      <w:r>
        <w:t>2. CRITICAL REVIEW OF POLICY AND SCHOLARSHIP</w:t>
      </w:r>
    </w:p>
    <w:p>
      <w:pPr>
        <w:pStyle w:val="Heading2"/>
      </w:pPr>
      <w:r>
        <w:t>2.1 Heat Action Plans: expansion is not the same as institutionalisation</w:t>
      </w:r>
    </w:p>
    <w:p>
      <w:pPr>
        <w:spacing w:after="100" w:line="283" w:lineRule="auto"/>
      </w:pPr>
      <w:r>
        <w:rPr>
          <w:rFonts w:ascii="Times New Roman" w:hAnsi="Times New Roman" w:eastAsia="Times New Roman"/>
          <w:i w:val="0"/>
          <w:sz w:val="22"/>
        </w:rPr>
        <w:t>India’s heat-action planning has expanded rapidly, but the literature increasingly questions whether document proliferation should be treated as evidence of institutional maturity. Singh et al. (2024), reviewing ten urban HAPs and interviewing designers, funders and implementers, describe “institutional thinness”: heat action remains constrained by limited dedicated capacity, weak financial mechanisms and a relief-oriented governance legacy. Dasgupta et al. (2025), benchmarking eight Indian city HAPs, similarly find that elements requiring long-term institutional and intersectoral action—care for vulnerable groups, health-system preparedness, urban planning and surveillance—receive less attention than short-term response. Kotharkar and Ghosh’s (2022) systematic review reaches a broader conclusion: implementation of core HAP elements varies considerably, especially for monitoring, evaluation and long-term planning.</w:t>
      </w:r>
    </w:p>
    <w:p>
      <w:pPr>
        <w:spacing w:after="100" w:line="283" w:lineRule="auto"/>
      </w:pPr>
      <w:r>
        <w:rPr>
          <w:rFonts w:ascii="Times New Roman" w:hAnsi="Times New Roman" w:eastAsia="Times New Roman"/>
          <w:i w:val="0"/>
          <w:sz w:val="22"/>
        </w:rPr>
        <w:t>These findings support, but do not prove, the school-level hypothesis. City-level “institutional thinness” cannot simply be projected downward to principals and teachers. A school may be well organised even when city governance is fragmented, and a well-written city plan may be translated into school action through separate education circulars. The present study therefore treats city-level literature as a source of mechanisms—capacity, coordination, finance, monitoring—not as evidence that West Delhi schools necessarily fail.</w:t>
      </w:r>
    </w:p>
    <w:p>
      <w:pPr>
        <w:spacing w:after="100" w:line="283" w:lineRule="auto"/>
      </w:pPr>
      <w:r>
        <w:rPr>
          <w:rFonts w:ascii="Times New Roman" w:hAnsi="Times New Roman" w:eastAsia="Times New Roman"/>
          <w:i w:val="0"/>
          <w:sz w:val="22"/>
        </w:rPr>
        <w:t>Khandekar et al. (2024) add a different critique: as Indian HAP templates are replicated, local context can be obscured. Nastar (2020) similarly warns that an apparently successful warning and outreach system may still exclude groups when horizontal and vertical urban governance remain fragmented. Together these studies challenge a purely technocratic reading of HAP quality. They suggest that a school study should examine not only whether a precaution exists in policy, but whether the precaution is locally actionable, equitably feasible and connected to an accountable decision chain.</w:t>
      </w:r>
    </w:p>
    <w:p>
      <w:pPr>
        <w:pStyle w:val="Heading2"/>
      </w:pPr>
      <w:r>
        <w:t>2.2 Warning quality versus warning actionability</w:t>
      </w:r>
    </w:p>
    <w:p>
      <w:pPr>
        <w:spacing w:after="100" w:line="283" w:lineRule="auto"/>
      </w:pPr>
      <w:r>
        <w:rPr>
          <w:rFonts w:ascii="Times New Roman" w:hAnsi="Times New Roman" w:eastAsia="Times New Roman"/>
          <w:i w:val="0"/>
          <w:sz w:val="22"/>
        </w:rPr>
        <w:t>Early-warning research often evaluates forecast accuracy, thresholds, reach or message comprehension. For the present study, the more important concept is decision usefulness. Marghidan et al. (2025) show that heat-warning services remain conceptually and operationally fragmented across meteorological, health and climate-service traditions, creating risks of mismatch between indicators and decision needs. Rizmie et al. (2025) likewise argue that the potential value of heat-health warning systems in India depends on context-specific, user-informed services and alignment between warning information and response systems. These arguments imply that an alert can be scientifically valid yet operationally weak for a school if it does not connect to a defined action, actor and authority.</w:t>
      </w:r>
    </w:p>
    <w:p>
      <w:pPr>
        <w:spacing w:after="100" w:line="283" w:lineRule="auto"/>
      </w:pPr>
      <w:r>
        <w:rPr>
          <w:rFonts w:ascii="Times New Roman" w:hAnsi="Times New Roman" w:eastAsia="Times New Roman"/>
          <w:i w:val="0"/>
          <w:sz w:val="22"/>
        </w:rPr>
        <w:t>Heidenreich and Thieken (2024) provide mechanism-level evidence from 1,417 German residents: warning messages containing action recommendations improved situational knowledge and intended specific protective behaviour, while response efficacy, response costs, preparedness and perceived external responsibility also predicted action. The limitation is important. Their unit of analysis is the individual household, whereas a principal acts within an administrative hierarchy and may face legal or organisational constraints. The present study therefore adapts—not imports—these constructs. “Response cost” becomes timetable, examination, transport and staffing cost; “external responsibility” becomes reliance on DoE, parents or health authorities; and “efficacy” becomes whether actors believe a permitted school action will actually protect children.</w:t>
      </w:r>
    </w:p>
    <w:p>
      <w:pPr>
        <w:spacing w:after="100" w:line="283" w:lineRule="auto"/>
      </w:pPr>
      <w:r>
        <w:rPr>
          <w:rFonts w:ascii="Times New Roman" w:hAnsi="Times New Roman" w:eastAsia="Times New Roman"/>
          <w:i w:val="0"/>
          <w:sz w:val="22"/>
        </w:rPr>
        <w:t>The distinction between meteorological alert and institutional trigger is therefore central. IMD warning categories indicate hazard/impact information, but they do not by themselves establish the legal or administrative authority of an individual school to close, dismiss pupils or change examinations. The Delhi HAP contains alert thresholds and separately contains education-sector actions; the present study will empirically test how school actors connect those layers rather than hard-coding a colour-to-school-action matrix into the framework (DDMA, 2025; IMD, 2026).</w:t>
      </w:r>
    </w:p>
    <w:p>
      <w:pPr>
        <w:pStyle w:val="Heading2"/>
      </w:pPr>
      <w:r>
        <w:t>2.3 School heat research: the problem is established, but the governance mechanism is under-specified</w:t>
      </w:r>
    </w:p>
    <w:p>
      <w:pPr>
        <w:spacing w:after="100" w:line="283" w:lineRule="auto"/>
      </w:pPr>
      <w:r>
        <w:rPr>
          <w:rFonts w:ascii="Times New Roman" w:hAnsi="Times New Roman" w:eastAsia="Times New Roman"/>
          <w:i w:val="0"/>
          <w:sz w:val="22"/>
        </w:rPr>
        <w:t>Recent school research has moved beyond simple awareness. Dunlop et al. (2026), using school policies from 85 UK schools and staff responses from 179 schools, identify perceived threat, action knowledge, staff agency linked to leadership/policy, and school infrastructure as barriers and enablers of adaptation. Hudson et al. (2026) similarly report that schools remain insufficiently prepared for changing heat risk, that behavioural measures dominate, and that centralised decision-making and cost can constrain adaptation. These studies are highly relevant because they place leadership, policy and infrastructure together rather than treating heat response as individual behaviour alone.</w:t>
      </w:r>
    </w:p>
    <w:p>
      <w:pPr>
        <w:spacing w:after="100" w:line="283" w:lineRule="auto"/>
      </w:pPr>
      <w:r>
        <w:rPr>
          <w:rFonts w:ascii="Times New Roman" w:hAnsi="Times New Roman" w:eastAsia="Times New Roman"/>
          <w:i w:val="0"/>
          <w:sz w:val="22"/>
        </w:rPr>
        <w:t>However, the UK institutional setting differs from Delhi’s public-school hierarchy, climate, infrastructure and parent/transport conditions. Their findings cannot establish which authority boundaries matter in West Delhi. Xiong and He (2024) develop a heat-resilient educational-precinct framework integrating preparation, mitigation/adaptation, thermal assessment, information sharing, heat action planning and post-assessment, but the empirical case is a Chinese university campus focused strongly on thermal environments and cooling infrastructure. It is useful for spatial and temporal exposure logic, not for explaining school-level public-administration authority.</w:t>
      </w:r>
    </w:p>
    <w:p>
      <w:pPr>
        <w:spacing w:after="100" w:line="283" w:lineRule="auto"/>
      </w:pPr>
      <w:r>
        <w:rPr>
          <w:rFonts w:ascii="Times New Roman" w:hAnsi="Times New Roman" w:eastAsia="Times New Roman"/>
          <w:i w:val="0"/>
          <w:sz w:val="22"/>
        </w:rPr>
        <w:t>Participatory work adds another dimension. Sa’adi et al. (2026) demonstrate that students can identify school-specific hotspots, cool spaces and context-sensitive adaptations through structured mapping. This supports the value of local situational knowledge and co-design. Yet a 30-student single-school workshop does not demonstrate that proposed adaptations are administratively authorised, financed or effective in reducing heat illness. For the present adult-interview design, participatory mapping is therefore treated as a later design option or staff-led school walkthrough rather than as evidence that co-design itself solves the governance problem.</w:t>
      </w:r>
    </w:p>
    <w:p>
      <w:pPr>
        <w:pStyle w:val="Heading2"/>
      </w:pPr>
      <w:r>
        <w:t>2.4 Resilience frameworks identify capacities but do not fully explain translation</w:t>
      </w:r>
    </w:p>
    <w:p>
      <w:pPr>
        <w:spacing w:after="100" w:line="283" w:lineRule="auto"/>
      </w:pPr>
      <w:r>
        <w:rPr>
          <w:rFonts w:ascii="Times New Roman" w:hAnsi="Times New Roman" w:eastAsia="Times New Roman"/>
          <w:i w:val="0"/>
          <w:sz w:val="22"/>
        </w:rPr>
        <w:t>Saunik and Shaw’s (2026) Heat Resilience Framework is valuable because it disaggregates heat resilience into physical, social, economic, institutional and environmental dimensions. It is especially useful for sensitising the observation protocol to multiple forms of school capacity. However, the framework is designed for city-level comparison and uses Analytical Hierarchy Process weighting to produce resilience rankings. Applying its full indicator architecture to eight or ten qualitative school cases would create false precision and shift the research away from the causal problem of warning-to-action translation. The present study therefore uses selected capacity domains as contextual evidence rather than importing the HRF as a second co-equal framework.</w:t>
      </w:r>
    </w:p>
    <w:p>
      <w:pPr>
        <w:spacing w:after="100" w:line="283" w:lineRule="auto"/>
      </w:pPr>
      <w:r>
        <w:rPr>
          <w:rFonts w:ascii="Times New Roman" w:hAnsi="Times New Roman" w:eastAsia="Times New Roman"/>
          <w:i w:val="0"/>
          <w:sz w:val="22"/>
        </w:rPr>
        <w:t>This distinction matters theoretically. A resilience framework can identify that a school lacks water, shade or institutional capacity; it does not necessarily explain why a principal who understands the warning does not act, why a teacher expects a different action from the principal, or why a timing change cannot be authorised. SHGTF is designed to explain those translation mechanisms while allowing resilience conditions to enter as context.</w:t>
      </w:r>
    </w:p>
    <w:p>
      <w:pPr>
        <w:pStyle w:val="Heading2"/>
      </w:pPr>
      <w:r>
        <w:t>2.5 Educational policy is enacted, not mechanically implemented</w:t>
      </w:r>
    </w:p>
    <w:p>
      <w:pPr>
        <w:spacing w:after="100" w:line="283" w:lineRule="auto"/>
      </w:pPr>
      <w:r>
        <w:rPr>
          <w:rFonts w:ascii="Times New Roman" w:hAnsi="Times New Roman" w:eastAsia="Times New Roman"/>
          <w:i w:val="0"/>
          <w:sz w:val="22"/>
        </w:rPr>
        <w:t>Policy-enactment scholarship provides the strongest theoretical bridge between formal heat governance and school practice. Braun et al. (2011) argue that the same policy is enacted differently because schools differ across situated, material, professional and external dimensions. Hay (2025) extends this perspective by conceptualising policy enactment as a process of translation mediated by human actors, material arrangements and sensemaking. These approaches challenge the assumption that policy travels intact from government document to classroom. For the present study, a school is not the terminal recipient of policy; it is an institutional arena in which formal guidance is interpreted, prioritised, adapted and sometimes deferred.</w:t>
      </w:r>
    </w:p>
    <w:p>
      <w:pPr>
        <w:spacing w:after="100" w:line="283" w:lineRule="auto"/>
      </w:pPr>
      <w:r>
        <w:rPr>
          <w:rFonts w:ascii="Times New Roman" w:hAnsi="Times New Roman" w:eastAsia="Times New Roman"/>
          <w:sz w:val="22"/>
        </w:rPr>
        <w:t>This interpretation is strengthened by street-level bureaucracy scholarship. Principals are not passive endpoints of a policy chain; they are frontline public managers who mediate policy under finite resources, competing demands and discretionary space (Davidovitz &amp; Schechter, 2024). In heat governance, discretion is potentially both protective and unequal: it can allow faster local action when central instructions lag, but it can also produce different thresholds of protection across schools. This “discretion paradox” is incorporated into SHGTF as an empirical issue rather than resolved in favour of either centralisation or autonomy.</w:t>
      </w:r>
    </w:p>
    <w:p>
      <w:pPr>
        <w:spacing w:after="100" w:line="283" w:lineRule="auto"/>
      </w:pPr>
      <w:r>
        <w:rPr>
          <w:rFonts w:ascii="Times New Roman" w:hAnsi="Times New Roman" w:eastAsia="Times New Roman"/>
          <w:i w:val="0"/>
          <w:sz w:val="22"/>
        </w:rPr>
        <w:t>Policy-enactment theory also prevents an overly moralised interpretation of non-action. A principal who waits for a higher order may be constrained by actual jurisdiction, may perceive an authority boundary that is not formally present, may fear accountability for unilateral action, or may simply reproduce a familiar organisational routine. These mechanisms have different policy implications. Only the first is solved by higher-level authorisation; the second by clarification; the third by accountability protection; and the fourth by training or routine redesign. The study is structured to distinguish these rather than coding them all as “lack of awareness.”</w:t>
      </w:r>
    </w:p>
    <w:p>
      <w:pPr>
        <w:pStyle w:val="Heading2"/>
      </w:pPr>
      <w:r>
        <w:t>2.6 School disaster decision-making shows why new hazard information may not change action</w:t>
      </w:r>
    </w:p>
    <w:p>
      <w:pPr>
        <w:spacing w:after="100" w:line="283" w:lineRule="auto"/>
      </w:pPr>
      <w:r>
        <w:rPr>
          <w:rFonts w:ascii="Times New Roman" w:hAnsi="Times New Roman" w:eastAsia="Times New Roman"/>
          <w:i w:val="0"/>
          <w:sz w:val="22"/>
        </w:rPr>
        <w:t>Sakurai et al. (2026) provide a particularly relevant school-disaster analogy. In Japanese tsunami planning, teachers exposed to updated hazard assumptions initially remained attached to familiar evacuation sites; a structured Risk-Informed Decision-Making approach using scenarios and evidence-based decision protocols changed recommendations. This study demonstrates that new hazard information does not automatically revise established school action. It also supports the use of scenarios to surface latent decision rules. The transfer to heat must nevertheless be cautious: tsunami evacuation is a bounded emergency with different legal, temporal and spatial characteristics. The present study borrows the decision-mechanism insight, not the tsunami procedure.</w:t>
      </w:r>
    </w:p>
    <w:p>
      <w:pPr>
        <w:pStyle w:val="Heading2"/>
      </w:pPr>
      <w:r>
        <w:t>2.7 Institutional coherence and learning</w:t>
      </w:r>
    </w:p>
    <w:p>
      <w:pPr>
        <w:spacing w:after="100" w:line="283" w:lineRule="auto"/>
      </w:pPr>
      <w:r>
        <w:rPr>
          <w:rFonts w:ascii="Times New Roman" w:hAnsi="Times New Roman" w:eastAsia="Times New Roman"/>
          <w:i w:val="0"/>
          <w:sz w:val="22"/>
        </w:rPr>
        <w:t>A school can appear compliant at the leadership level while teachers hold a different operational model. Holst’s (2023) synthesis of Whole Institution Approaches emphasises coherence, participation, responsibility and continuous organisational learning as conditions for institutional change. In this study, “institutional coherence” is used in a narrower empirical sense: the degree to which policy, principal interpretation, teacher interpretation and evidenced practice align around the same trigger, authority, role and action. It is not treated as a validated psychometric scale.</w:t>
      </w:r>
    </w:p>
    <w:p>
      <w:pPr>
        <w:spacing w:after="100" w:line="283" w:lineRule="auto"/>
      </w:pPr>
      <w:r>
        <w:rPr>
          <w:rFonts w:ascii="Times New Roman" w:hAnsi="Times New Roman" w:eastAsia="Times New Roman"/>
          <w:i w:val="0"/>
          <w:sz w:val="22"/>
        </w:rPr>
        <w:t>Learning is equally important. Hess et al. (2023) and heat-action reviews emphasise after-action evaluation and iterative management, while Delhi’s HAP itself calls for feedback and review (DDMA, 2025). Repeated seasonal action without documentation, reflection or adjustment may be routine but not necessarily adaptive institutionalisation. The study therefore extends the warning-to-action chain beyond “action taken” to ask whether constraints and near-misses are recorded and used to alter the next season’s preparedness.</w:t>
      </w:r>
    </w:p>
    <w:p>
      <w:pPr>
        <w:pStyle w:val="Heading2"/>
      </w:pPr>
      <w:r>
        <w:t>2.8 Precise research gap</w:t>
      </w:r>
    </w:p>
    <w:p>
      <w:pPr>
        <w:spacing w:after="100" w:line="283" w:lineRule="auto"/>
      </w:pPr>
      <w:r>
        <w:rPr>
          <w:rFonts w:ascii="Times New Roman" w:hAnsi="Times New Roman" w:eastAsia="Times New Roman"/>
          <w:i w:val="0"/>
          <w:sz w:val="22"/>
        </w:rPr>
        <w:t>The reviewed literature leaves a specific intersection underdeveloped. Indian heat-governance studies mainly analyse city plans and institutions; school-heat studies mainly analyse health, thermal conditions, perceptions, readiness or adaptation measures; warning-behaviour studies mainly examine individuals; and policy-enactment research rarely addresses extreme heat. The reviewed evidence therefore does not yet explain, in Delhi government schools, how formal heat warnings and directives are translated through shared interpretation, decision jurisdiction, school capacity and duty-of-care constraints into actual protective action.</w:t>
      </w:r>
    </w:p>
    <w:p>
      <w:pPr>
        <w:spacing w:after="100" w:line="283" w:lineRule="auto"/>
      </w:pPr>
      <w:r>
        <w:rPr>
          <w:rFonts w:ascii="Times New Roman" w:hAnsi="Times New Roman" w:eastAsia="Times New Roman"/>
          <w:i w:val="0"/>
          <w:sz w:val="22"/>
        </w:rPr>
        <w:t>The contribution is consequently not “the first study of heat in schools,” “the first heat framework,” or “proof that Delhi has no SOP.” It is a mechanism-oriented study of micro-institutional translation under one common metropolitan heat-governance system.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pPr>
              <w:spacing w:after="0"/>
            </w:pPr>
            <w:r/>
            <w:r>
              <w:rPr>
                <w:rFonts w:ascii="Times New Roman" w:hAnsi="Times New Roman" w:eastAsia="Times New Roman"/>
                <w:b/>
                <w:sz w:val="16"/>
              </w:rPr>
              <w:t>Literature stream</w:t>
            </w:r>
          </w:p>
        </w:tc>
        <w:tc>
          <w:tcPr>
            <w:tcW w:type="dxa" w:w="3360"/>
            <w:vAlign w:val="top"/>
            <w:shd w:fill="D9EAF7"/>
          </w:tcPr>
          <w:p>
            <w:pPr>
              <w:spacing w:after="0"/>
            </w:pPr>
            <w:r/>
            <w:r>
              <w:rPr>
                <w:rFonts w:ascii="Times New Roman" w:hAnsi="Times New Roman" w:eastAsia="Times New Roman"/>
                <w:b/>
                <w:sz w:val="16"/>
              </w:rPr>
              <w:t>What it establishes</w:t>
            </w:r>
          </w:p>
        </w:tc>
        <w:tc>
          <w:tcPr>
            <w:tcW w:type="dxa" w:w="3360"/>
            <w:vAlign w:val="top"/>
            <w:shd w:fill="D9EAF7"/>
          </w:tcPr>
          <w:p>
            <w:pPr>
              <w:spacing w:after="0"/>
            </w:pPr>
            <w:r/>
            <w:r>
              <w:rPr>
                <w:rFonts w:ascii="Times New Roman" w:hAnsi="Times New Roman" w:eastAsia="Times New Roman"/>
                <w:b/>
                <w:sz w:val="16"/>
              </w:rPr>
              <w:t>What remains unresolved for this study</w:t>
            </w:r>
          </w:p>
        </w:tc>
      </w:tr>
      <w:tr>
        <w:tc>
          <w:tcPr>
            <w:tcW w:type="dxa" w:w="3360"/>
            <w:vAlign w:val="top"/>
          </w:tcPr>
          <w:p>
            <w:pPr>
              <w:spacing w:after="0"/>
            </w:pPr>
            <w:r/>
            <w:r>
              <w:rPr>
                <w:rFonts w:ascii="Times New Roman" w:hAnsi="Times New Roman" w:eastAsia="Times New Roman"/>
                <w:b w:val="0"/>
                <w:sz w:val="16"/>
              </w:rPr>
              <w:t>Indian HAP governance</w:t>
            </w:r>
          </w:p>
        </w:tc>
        <w:tc>
          <w:tcPr>
            <w:tcW w:type="dxa" w:w="3360"/>
            <w:vAlign w:val="top"/>
          </w:tcPr>
          <w:p>
            <w:pPr>
              <w:spacing w:after="0"/>
            </w:pPr>
            <w:r/>
            <w:r>
              <w:rPr>
                <w:rFonts w:ascii="Times New Roman" w:hAnsi="Times New Roman" w:eastAsia="Times New Roman"/>
                <w:b w:val="0"/>
                <w:sz w:val="16"/>
              </w:rPr>
              <w:t>Plans can expand while capacity, coordination, long-term planning and local fit remain uneven (Singh et al., 2024; Dasgupta et al., 2025; Khandekar et al., 2024).</w:t>
            </w:r>
          </w:p>
        </w:tc>
        <w:tc>
          <w:tcPr>
            <w:tcW w:type="dxa" w:w="3360"/>
            <w:vAlign w:val="top"/>
          </w:tcPr>
          <w:p>
            <w:pPr>
              <w:spacing w:after="0"/>
            </w:pPr>
            <w:r/>
            <w:r>
              <w:rPr>
                <w:rFonts w:ascii="Times New Roman" w:hAnsi="Times New Roman" w:eastAsia="Times New Roman"/>
                <w:b w:val="0"/>
                <w:sz w:val="16"/>
              </w:rPr>
              <w:t>Whether and how those city-level weaknesses appear inside government schools.</w:t>
            </w:r>
          </w:p>
        </w:tc>
      </w:tr>
      <w:tr>
        <w:tc>
          <w:tcPr>
            <w:tcW w:type="dxa" w:w="3360"/>
            <w:vAlign w:val="top"/>
          </w:tcPr>
          <w:p>
            <w:pPr>
              <w:spacing w:after="0"/>
            </w:pPr>
            <w:r/>
            <w:r>
              <w:rPr>
                <w:rFonts w:ascii="Times New Roman" w:hAnsi="Times New Roman" w:eastAsia="Times New Roman"/>
                <w:b w:val="0"/>
                <w:sz w:val="16"/>
              </w:rPr>
              <w:t>Heat-warning/action research</w:t>
            </w:r>
          </w:p>
        </w:tc>
        <w:tc>
          <w:tcPr>
            <w:tcW w:type="dxa" w:w="3360"/>
            <w:vAlign w:val="top"/>
          </w:tcPr>
          <w:p>
            <w:pPr>
              <w:spacing w:after="0"/>
            </w:pPr>
            <w:r/>
            <w:r>
              <w:rPr>
                <w:rFonts w:ascii="Times New Roman" w:hAnsi="Times New Roman" w:eastAsia="Times New Roman"/>
                <w:b w:val="0"/>
                <w:sz w:val="16"/>
              </w:rPr>
              <w:t>Action depends on actionable advice, efficacy, cost, responsibility and alignment of warning systems with user needs (Heidenreich &amp; Thieken, 2024; Marghidan et al., 2025; Rizmie et al., 2025).</w:t>
            </w:r>
          </w:p>
        </w:tc>
        <w:tc>
          <w:tcPr>
            <w:tcW w:type="dxa" w:w="3360"/>
            <w:vAlign w:val="top"/>
          </w:tcPr>
          <w:p>
            <w:pPr>
              <w:spacing w:after="0"/>
            </w:pPr>
            <w:r/>
            <w:r>
              <w:rPr>
                <w:rFonts w:ascii="Times New Roman" w:hAnsi="Times New Roman" w:eastAsia="Times New Roman"/>
                <w:b w:val="0"/>
                <w:sz w:val="16"/>
              </w:rPr>
              <w:t>How these mechanisms change when the actor is a principal inside a public-administration hierarchy.</w:t>
            </w:r>
          </w:p>
        </w:tc>
      </w:tr>
      <w:tr>
        <w:tc>
          <w:tcPr>
            <w:tcW w:type="dxa" w:w="3360"/>
            <w:vAlign w:val="top"/>
          </w:tcPr>
          <w:p>
            <w:pPr>
              <w:spacing w:after="0"/>
            </w:pPr>
            <w:r/>
            <w:r>
              <w:rPr>
                <w:rFonts w:ascii="Times New Roman" w:hAnsi="Times New Roman" w:eastAsia="Times New Roman"/>
                <w:b w:val="0"/>
                <w:sz w:val="16"/>
              </w:rPr>
              <w:t>School heat studies</w:t>
            </w:r>
          </w:p>
        </w:tc>
        <w:tc>
          <w:tcPr>
            <w:tcW w:type="dxa" w:w="3360"/>
            <w:vAlign w:val="top"/>
          </w:tcPr>
          <w:p>
            <w:pPr>
              <w:spacing w:after="0"/>
            </w:pPr>
            <w:r/>
            <w:r>
              <w:rPr>
                <w:rFonts w:ascii="Times New Roman" w:hAnsi="Times New Roman" w:eastAsia="Times New Roman"/>
                <w:b w:val="0"/>
                <w:sz w:val="16"/>
              </w:rPr>
              <w:t>Heat affects health, comfort and learning; leadership, infrastructure and cost shape readiness (Lala &amp; Hagishima, 2023; Dunlop et al., 2026; Hudson et al., 2026).</w:t>
            </w:r>
          </w:p>
        </w:tc>
        <w:tc>
          <w:tcPr>
            <w:tcW w:type="dxa" w:w="3360"/>
            <w:vAlign w:val="top"/>
          </w:tcPr>
          <w:p>
            <w:pPr>
              <w:spacing w:after="0"/>
            </w:pPr>
            <w:r/>
            <w:r>
              <w:rPr>
                <w:rFonts w:ascii="Times New Roman" w:hAnsi="Times New Roman" w:eastAsia="Times New Roman"/>
                <w:b w:val="0"/>
                <w:sz w:val="16"/>
              </w:rPr>
              <w:t>The formal-to-enacted decision pathway, especially authority, escalation and continuity of care.</w:t>
            </w:r>
          </w:p>
        </w:tc>
      </w:tr>
      <w:tr>
        <w:tc>
          <w:tcPr>
            <w:tcW w:type="dxa" w:w="3360"/>
            <w:vAlign w:val="top"/>
          </w:tcPr>
          <w:p>
            <w:pPr>
              <w:spacing w:after="0"/>
            </w:pPr>
            <w:r/>
            <w:r>
              <w:rPr>
                <w:rFonts w:ascii="Times New Roman" w:hAnsi="Times New Roman" w:eastAsia="Times New Roman"/>
                <w:b w:val="0"/>
                <w:sz w:val="16"/>
              </w:rPr>
              <w:t>Policy enactment</w:t>
            </w:r>
          </w:p>
        </w:tc>
        <w:tc>
          <w:tcPr>
            <w:tcW w:type="dxa" w:w="3360"/>
            <w:vAlign w:val="top"/>
          </w:tcPr>
          <w:p>
            <w:pPr>
              <w:spacing w:after="0"/>
            </w:pPr>
            <w:r/>
            <w:r>
              <w:rPr>
                <w:rFonts w:ascii="Times New Roman" w:hAnsi="Times New Roman" w:eastAsia="Times New Roman"/>
                <w:b w:val="0"/>
                <w:sz w:val="16"/>
              </w:rPr>
              <w:t>Policy is contextually translated rather than mechanically implemented (Braun et al., 2011; Hay, 2025).</w:t>
            </w:r>
          </w:p>
        </w:tc>
        <w:tc>
          <w:tcPr>
            <w:tcW w:type="dxa" w:w="3360"/>
            <w:vAlign w:val="top"/>
          </w:tcPr>
          <w:p>
            <w:pPr>
              <w:spacing w:after="0"/>
            </w:pPr>
            <w:r/>
            <w:r>
              <w:rPr>
                <w:rFonts w:ascii="Times New Roman" w:hAnsi="Times New Roman" w:eastAsia="Times New Roman"/>
                <w:b w:val="0"/>
                <w:sz w:val="16"/>
              </w:rPr>
              <w:t>How policy enactment operates under a heat early-warning system and custodial duty to children.</w:t>
            </w:r>
          </w:p>
        </w:tc>
      </w:tr>
      <w:tr>
        <w:tc>
          <w:tcPr>
            <w:tcW w:type="dxa" w:w="3360"/>
            <w:vAlign w:val="top"/>
          </w:tcPr>
          <w:p>
            <w:pPr>
              <w:spacing w:after="0"/>
            </w:pPr>
            <w:r/>
            <w:r>
              <w:rPr>
                <w:rFonts w:ascii="Times New Roman" w:hAnsi="Times New Roman" w:eastAsia="Times New Roman"/>
                <w:b w:val="0"/>
                <w:sz w:val="16"/>
              </w:rPr>
              <w:t>School DRR decision research</w:t>
            </w:r>
          </w:p>
        </w:tc>
        <w:tc>
          <w:tcPr>
            <w:tcW w:type="dxa" w:w="3360"/>
            <w:vAlign w:val="top"/>
          </w:tcPr>
          <w:p>
            <w:pPr>
              <w:spacing w:after="0"/>
            </w:pPr>
            <w:r/>
            <w:r>
              <w:rPr>
                <w:rFonts w:ascii="Times New Roman" w:hAnsi="Times New Roman" w:eastAsia="Times New Roman"/>
                <w:b w:val="0"/>
                <w:sz w:val="16"/>
              </w:rPr>
              <w:t>New risk information can fail to change action because familiar routines and institutional constraints persist (Sakurai et al., 2026).</w:t>
            </w:r>
          </w:p>
        </w:tc>
        <w:tc>
          <w:tcPr>
            <w:tcW w:type="dxa" w:w="3360"/>
            <w:vAlign w:val="top"/>
          </w:tcPr>
          <w:p>
            <w:pPr>
              <w:spacing w:after="0"/>
            </w:pPr>
            <w:r/>
            <w:r>
              <w:rPr>
                <w:rFonts w:ascii="Times New Roman" w:hAnsi="Times New Roman" w:eastAsia="Times New Roman"/>
                <w:b w:val="0"/>
                <w:sz w:val="16"/>
              </w:rPr>
              <w:t>Whether similar mechanisms appear in cumulative heat risk and which are heat-specific.</w:t>
            </w:r>
          </w:p>
        </w:tc>
      </w:tr>
    </w:tbl>
    <w:p>
      <w:pPr>
        <w:pStyle w:val="Heading1"/>
        <w:spacing w:after="100" w:line="283" w:lineRule="auto"/>
      </w:pPr>
      <w:r>
        <w:rPr>
          <w:rFonts w:ascii="Times New Roman" w:hAnsi="Times New Roman" w:eastAsia="Times New Roman"/>
          <w:i w:val="0"/>
          <w:sz w:val="30"/>
        </w:rPr>
        <w:t>3. CRITICAL ARGUMENTS, PARADOXES AND RIVAL EXPLANATIONS</w:t>
      </w:r>
    </w:p>
    <w:p>
      <w:pPr>
        <w:spacing w:after="100" w:line="283" w:lineRule="auto"/>
      </w:pPr>
      <w:r>
        <w:rPr>
          <w:rFonts w:ascii="Times New Roman" w:hAnsi="Times New Roman" w:eastAsia="Times New Roman"/>
          <w:i w:val="0"/>
          <w:sz w:val="22"/>
        </w:rPr>
        <w:t>The proposal advances seven provisional arguments. Each is deliberately paired with a rival explanation so that fieldwork can falsify or refine the framework.</w:t>
      </w:r>
    </w:p>
    <w:p>
      <w:pPr>
        <w:pStyle w:val="Heading2"/>
      </w:pPr>
      <w:r>
        <w:t>Argument 1 — The formal-density paradox</w:t>
      </w:r>
    </w:p>
    <w:p>
      <w:pPr>
        <w:spacing w:after="100" w:line="283" w:lineRule="auto"/>
      </w:pPr>
      <w:r>
        <w:rPr>
          <w:rFonts w:ascii="Times New Roman" w:hAnsi="Times New Roman" w:eastAsia="Times New Roman"/>
          <w:i w:val="0"/>
          <w:sz w:val="22"/>
        </w:rPr>
        <w:t>More policy provisions do not necessarily produce greater school-level actionability. Actionability requires the provisions to specify or enable a usable relation among trigger, actor, authority, action, resource and exception handling. Indian HAP scholarship supports the possibility of institutional thinness despite plan proliferation (Dasgupta et al., 2025; Singh et al., 2024).</w:t>
      </w:r>
    </w:p>
    <w:p>
      <w:pPr>
        <w:spacing w:after="100" w:line="283" w:lineRule="auto"/>
      </w:pPr>
      <w:r>
        <w:rPr>
          <w:rFonts w:ascii="Times New Roman" w:hAnsi="Times New Roman" w:eastAsia="Times New Roman"/>
          <w:i w:val="0"/>
          <w:sz w:val="22"/>
        </w:rPr>
        <w:t>Empirical challenge: Rival: schools may already possess clear local procedures that are not visible in high-level documents. The study will collect school-held circulars, plans and records before concluding that translation is incomplete.</w:t>
      </w:r>
    </w:p>
    <w:p>
      <w:pPr>
        <w:pStyle w:val="Heading2"/>
      </w:pPr>
      <w:r>
        <w:t>Argument 2 — The critical gap may be translation rather than transmission</w:t>
      </w:r>
    </w:p>
    <w:p>
      <w:pPr>
        <w:spacing w:after="100" w:line="283" w:lineRule="auto"/>
      </w:pPr>
      <w:r>
        <w:rPr>
          <w:rFonts w:ascii="Times New Roman" w:hAnsi="Times New Roman" w:eastAsia="Times New Roman"/>
          <w:i w:val="0"/>
          <w:sz w:val="22"/>
        </w:rPr>
        <w:t>A warning can be received and understood yet remain non-actionable because the school actor does not know what is authorised, feasible or expected. Warning research shows that recommendations, efficacy, cost and responsibility matter after message receipt (Heidenreich &amp; Thieken, 2024).</w:t>
      </w:r>
    </w:p>
    <w:p>
      <w:pPr>
        <w:spacing w:after="100" w:line="283" w:lineRule="auto"/>
      </w:pPr>
      <w:r>
        <w:rPr>
          <w:rFonts w:ascii="Times New Roman" w:hAnsi="Times New Roman" w:eastAsia="Times New Roman"/>
          <w:i w:val="0"/>
          <w:sz w:val="22"/>
        </w:rPr>
        <w:t>Empirical challenge: Rival: the main problem may still be non-receipt, delayed receipt or misunderstanding. Interviews therefore verify source, time, recipient, acknowledgement and comprehension before probing authority.</w:t>
      </w:r>
    </w:p>
    <w:p>
      <w:pPr>
        <w:pStyle w:val="Heading2"/>
      </w:pPr>
      <w:r>
        <w:t>Argument 3 — Standardised instructions will be enacted differently across heterogeneous schools</w:t>
      </w:r>
    </w:p>
    <w:p>
      <w:pPr>
        <w:spacing w:after="100" w:line="283" w:lineRule="auto"/>
      </w:pPr>
      <w:r>
        <w:rPr>
          <w:rFonts w:ascii="Times New Roman" w:hAnsi="Times New Roman" w:eastAsia="Times New Roman"/>
          <w:i w:val="0"/>
          <w:sz w:val="22"/>
        </w:rPr>
        <w:t>Identical policy may produce different action because schools differ in student age, shift pattern, staffing, water, building exposure, transport and parent availability. Policy enactment research treats such contextual variation as constitutive, not statistical noise (Braun et al., 2011).</w:t>
      </w:r>
    </w:p>
    <w:p>
      <w:pPr>
        <w:spacing w:after="100" w:line="283" w:lineRule="auto"/>
      </w:pPr>
      <w:r>
        <w:rPr>
          <w:rFonts w:ascii="Times New Roman" w:hAnsi="Times New Roman" w:eastAsia="Times New Roman"/>
          <w:i w:val="0"/>
          <w:sz w:val="22"/>
        </w:rPr>
        <w:t>Empirical challenge: Rival: a sufficiently clear and resourced directive may override most contextual variation. Positive-deviant schools will be examined for evidence of such institutional standardisation.</w:t>
      </w:r>
    </w:p>
    <w:p>
      <w:pPr>
        <w:pStyle w:val="Heading2"/>
      </w:pPr>
      <w:r>
        <w:t>Argument 4 — Responsibility without jurisdiction can create symbolic decentralisation</w:t>
      </w:r>
    </w:p>
    <w:p>
      <w:pPr>
        <w:spacing w:after="100" w:line="283" w:lineRule="auto"/>
      </w:pPr>
      <w:r>
        <w:rPr>
          <w:rFonts w:ascii="Times New Roman" w:hAnsi="Times New Roman" w:eastAsia="Times New Roman"/>
          <w:i w:val="0"/>
          <w:sz w:val="22"/>
        </w:rPr>
        <w:t>Assigning schools responsibility for student protection does not guarantee that principals possess authority to alter timing, examination arrangements or dispersal. A school may be held responsible for outcomes while remaining dependent on higher-level approval.</w:t>
      </w:r>
    </w:p>
    <w:p>
      <w:pPr>
        <w:spacing w:after="100" w:line="283" w:lineRule="auto"/>
      </w:pPr>
      <w:r>
        <w:rPr>
          <w:rFonts w:ascii="Times New Roman" w:hAnsi="Times New Roman" w:eastAsia="Times New Roman"/>
          <w:i w:val="0"/>
          <w:sz w:val="22"/>
        </w:rPr>
        <w:t>Empirical challenge: Rival: authority may already be delegated but under-used because principals misperceive the boundary or adhere to familiar practice. Official interviews and document analysis will distinguish formal from perceived jurisdiction.</w:t>
      </w:r>
    </w:p>
    <w:p>
      <w:pPr>
        <w:pStyle w:val="Heading2"/>
      </w:pPr>
      <w:r>
        <w:t>Argument 5 — Action is not equivalent to protection</w:t>
      </w:r>
    </w:p>
    <w:p>
      <w:pPr>
        <w:spacing w:after="100" w:line="283" w:lineRule="auto"/>
      </w:pPr>
      <w:r>
        <w:rPr>
          <w:rFonts w:ascii="Times New Roman" w:hAnsi="Times New Roman" w:eastAsia="Times New Roman"/>
          <w:i w:val="0"/>
          <w:sz w:val="22"/>
        </w:rPr>
        <w:t>An administratively visible action can reduce on-campus exposure while transferring heat, supervision or access risk to travel and home. Early dispersal is therefore not coded automatically as “stronger response”; it is evaluated for protective continuity.</w:t>
      </w:r>
      <w:r>
        <w:rPr>
          <w:rFonts w:ascii="Times New Roman" w:hAnsi="Times New Roman" w:eastAsia="Times New Roman"/>
          <w:sz w:val="22"/>
        </w:rPr>
        <w:t xml:space="preserve"> This distinction is consistent with adaptation scholarship that treats trade-offs and unintended adverse effects as central to judging adaptation quality rather than as secondary implementation details (Higuera Roa et al., 2025; Singh et al., 2024).</w:t>
      </w:r>
    </w:p>
    <w:p>
      <w:pPr>
        <w:spacing w:after="100" w:line="283" w:lineRule="auto"/>
      </w:pPr>
      <w:r>
        <w:rPr>
          <w:rFonts w:ascii="Times New Roman" w:hAnsi="Times New Roman" w:eastAsia="Times New Roman"/>
          <w:i w:val="0"/>
          <w:sz w:val="22"/>
        </w:rPr>
        <w:t>Empirical challenge: Rival: in some cases early dispersal may unambiguously reduce total exposure. The study will examine actual student dependency, pickup, transport and holding arrangements rather than presuming risk transfer.</w:t>
      </w:r>
    </w:p>
    <w:p>
      <w:pPr>
        <w:pStyle w:val="Heading2"/>
      </w:pPr>
      <w:r>
        <w:t>Argument 6 — The institutional gap begins before the warning</w:t>
      </w:r>
    </w:p>
    <w:p>
      <w:pPr>
        <w:spacing w:after="100" w:line="283" w:lineRule="auto"/>
      </w:pPr>
      <w:r>
        <w:rPr>
          <w:rFonts w:ascii="Times New Roman" w:hAnsi="Times New Roman" w:eastAsia="Times New Roman"/>
          <w:i w:val="0"/>
          <w:sz w:val="22"/>
        </w:rPr>
        <w:t>If water, fans, contacts, focal roles, safe spaces and escalation pathways are unresolved before the alert, a later response failure is partly a preparedness failure. Extreme-heat preparedness literature supports a full pre-event to post-event cycle (Hess et al., 2023).</w:t>
      </w:r>
    </w:p>
    <w:p>
      <w:pPr>
        <w:spacing w:after="100" w:line="283" w:lineRule="auto"/>
      </w:pPr>
      <w:r>
        <w:rPr>
          <w:rFonts w:ascii="Times New Roman" w:hAnsi="Times New Roman" w:eastAsia="Times New Roman"/>
          <w:i w:val="0"/>
          <w:sz w:val="22"/>
        </w:rPr>
        <w:t>Empirical challenge: Rival: some schools may operate effectively through flexible improvisation without formal pre-season routines. Such cases will be treated as theoretically important rather than forced into a deficit model.</w:t>
      </w:r>
    </w:p>
    <w:p>
      <w:pPr>
        <w:pStyle w:val="Heading2"/>
      </w:pPr>
      <w:r>
        <w:t>Argument 7 — Institutionalisation requires a learning loop, not repeated improvisation</w:t>
      </w:r>
    </w:p>
    <w:p>
      <w:pPr>
        <w:spacing w:after="100" w:line="283" w:lineRule="auto"/>
      </w:pPr>
      <w:r>
        <w:rPr>
          <w:rFonts w:ascii="Times New Roman" w:hAnsi="Times New Roman" w:eastAsia="Times New Roman"/>
          <w:i w:val="0"/>
          <w:sz w:val="22"/>
        </w:rPr>
        <w:t>A school system becomes more institutionalised when actions, barriers and outcomes are recorded and feed back into future preparedness and higher-level policy. Repetition alone can reproduce the same weakness.</w:t>
      </w:r>
    </w:p>
    <w:p>
      <w:pPr>
        <w:spacing w:after="100" w:line="283" w:lineRule="auto"/>
      </w:pPr>
      <w:r>
        <w:rPr>
          <w:rFonts w:ascii="Times New Roman" w:hAnsi="Times New Roman" w:eastAsia="Times New Roman"/>
          <w:i w:val="0"/>
          <w:sz w:val="22"/>
        </w:rPr>
        <w:t>Empirical challenge: Rival: informal learning may occur without a formal log. Interviews will therefore ask how previous heat seasons changed practice, not only whether a written review exists.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pPr>
              <w:spacing w:after="0"/>
            </w:pPr>
            <w:r/>
            <w:r>
              <w:rPr>
                <w:rFonts w:ascii="Times New Roman" w:hAnsi="Times New Roman" w:eastAsia="Times New Roman"/>
                <w:b/>
                <w:sz w:val="17"/>
              </w:rPr>
              <w:t>Observed pattern</w:t>
            </w:r>
          </w:p>
        </w:tc>
        <w:tc>
          <w:tcPr>
            <w:tcW w:type="dxa" w:w="3360"/>
            <w:vAlign w:val="top"/>
            <w:shd w:fill="D9EAF7"/>
          </w:tcPr>
          <w:p>
            <w:pPr>
              <w:spacing w:after="0"/>
            </w:pPr>
            <w:r/>
            <w:r>
              <w:rPr>
                <w:rFonts w:ascii="Times New Roman" w:hAnsi="Times New Roman" w:eastAsia="Times New Roman"/>
                <w:b/>
                <w:sz w:val="17"/>
              </w:rPr>
              <w:t>Most plausible first interpretation</w:t>
            </w:r>
          </w:p>
        </w:tc>
        <w:tc>
          <w:tcPr>
            <w:tcW w:type="dxa" w:w="3360"/>
            <w:vAlign w:val="top"/>
            <w:shd w:fill="D9EAF7"/>
          </w:tcPr>
          <w:p>
            <w:pPr>
              <w:spacing w:after="0"/>
            </w:pPr>
            <w:r/>
            <w:r>
              <w:rPr>
                <w:rFonts w:ascii="Times New Roman" w:hAnsi="Times New Roman" w:eastAsia="Times New Roman"/>
                <w:b/>
                <w:sz w:val="17"/>
              </w:rPr>
              <w:t>Implication for main argument</w:t>
            </w:r>
          </w:p>
        </w:tc>
      </w:tr>
      <w:tr>
        <w:tc>
          <w:tcPr>
            <w:tcW w:type="dxa" w:w="3360"/>
            <w:vAlign w:val="top"/>
          </w:tcPr>
          <w:p>
            <w:pPr>
              <w:spacing w:after="0"/>
            </w:pPr>
            <w:r/>
            <w:r>
              <w:rPr>
                <w:rFonts w:ascii="Times New Roman" w:hAnsi="Times New Roman" w:eastAsia="Times New Roman"/>
                <w:b w:val="0"/>
                <w:sz w:val="17"/>
              </w:rPr>
              <w:t>Alert not received / received too late</w:t>
            </w:r>
          </w:p>
        </w:tc>
        <w:tc>
          <w:tcPr>
            <w:tcW w:type="dxa" w:w="3360"/>
            <w:vAlign w:val="top"/>
          </w:tcPr>
          <w:p>
            <w:pPr>
              <w:spacing w:after="0"/>
            </w:pPr>
            <w:r/>
            <w:r>
              <w:rPr>
                <w:rFonts w:ascii="Times New Roman" w:hAnsi="Times New Roman" w:eastAsia="Times New Roman"/>
                <w:b w:val="0"/>
                <w:sz w:val="17"/>
              </w:rPr>
              <w:t>Transmission/coordination failure</w:t>
            </w:r>
          </w:p>
        </w:tc>
        <w:tc>
          <w:tcPr>
            <w:tcW w:type="dxa" w:w="3360"/>
            <w:vAlign w:val="top"/>
          </w:tcPr>
          <w:p>
            <w:pPr>
              <w:spacing w:after="0"/>
            </w:pPr>
            <w:r/>
            <w:r>
              <w:rPr>
                <w:rFonts w:ascii="Times New Roman" w:hAnsi="Times New Roman" w:eastAsia="Times New Roman"/>
                <w:b w:val="0"/>
                <w:sz w:val="17"/>
              </w:rPr>
              <w:t>Weakens a translation-first explanation for that case.</w:t>
            </w:r>
          </w:p>
        </w:tc>
      </w:tr>
      <w:tr>
        <w:tc>
          <w:tcPr>
            <w:tcW w:type="dxa" w:w="3360"/>
            <w:vAlign w:val="top"/>
          </w:tcPr>
          <w:p>
            <w:pPr>
              <w:spacing w:after="0"/>
            </w:pPr>
            <w:r/>
            <w:r>
              <w:rPr>
                <w:rFonts w:ascii="Times New Roman" w:hAnsi="Times New Roman" w:eastAsia="Times New Roman"/>
                <w:b w:val="0"/>
                <w:sz w:val="17"/>
              </w:rPr>
              <w:t>Alert received but meaning misunderstood</w:t>
            </w:r>
          </w:p>
        </w:tc>
        <w:tc>
          <w:tcPr>
            <w:tcW w:type="dxa" w:w="3360"/>
            <w:vAlign w:val="top"/>
          </w:tcPr>
          <w:p>
            <w:pPr>
              <w:spacing w:after="0"/>
            </w:pPr>
            <w:r/>
            <w:r>
              <w:rPr>
                <w:rFonts w:ascii="Times New Roman" w:hAnsi="Times New Roman" w:eastAsia="Times New Roman"/>
                <w:b w:val="0"/>
                <w:sz w:val="17"/>
              </w:rPr>
              <w:t>Interpretive/communication failure</w:t>
            </w:r>
          </w:p>
        </w:tc>
        <w:tc>
          <w:tcPr>
            <w:tcW w:type="dxa" w:w="3360"/>
            <w:vAlign w:val="top"/>
          </w:tcPr>
          <w:p>
            <w:pPr>
              <w:spacing w:after="0"/>
            </w:pPr>
            <w:r/>
            <w:r>
              <w:rPr>
                <w:rFonts w:ascii="Times New Roman" w:hAnsi="Times New Roman" w:eastAsia="Times New Roman"/>
                <w:b w:val="0"/>
                <w:sz w:val="17"/>
              </w:rPr>
              <w:t>Shows cognition precedes institutional translation.</w:t>
            </w:r>
          </w:p>
        </w:tc>
      </w:tr>
      <w:tr>
        <w:tc>
          <w:tcPr>
            <w:tcW w:type="dxa" w:w="3360"/>
            <w:vAlign w:val="top"/>
          </w:tcPr>
          <w:p>
            <w:pPr>
              <w:spacing w:after="0"/>
            </w:pPr>
            <w:r/>
            <w:r>
              <w:rPr>
                <w:rFonts w:ascii="Times New Roman" w:hAnsi="Times New Roman" w:eastAsia="Times New Roman"/>
                <w:b w:val="0"/>
                <w:sz w:val="17"/>
              </w:rPr>
              <w:t>Received and understood; authority unclear</w:t>
            </w:r>
          </w:p>
        </w:tc>
        <w:tc>
          <w:tcPr>
            <w:tcW w:type="dxa" w:w="3360"/>
            <w:vAlign w:val="top"/>
          </w:tcPr>
          <w:p>
            <w:pPr>
              <w:spacing w:after="0"/>
            </w:pPr>
            <w:r/>
            <w:r>
              <w:rPr>
                <w:rFonts w:ascii="Times New Roman" w:hAnsi="Times New Roman" w:eastAsia="Times New Roman"/>
                <w:b w:val="0"/>
                <w:sz w:val="17"/>
              </w:rPr>
              <w:t>Jurisdiction/translation failure</w:t>
            </w:r>
          </w:p>
        </w:tc>
        <w:tc>
          <w:tcPr>
            <w:tcW w:type="dxa" w:w="3360"/>
            <w:vAlign w:val="top"/>
          </w:tcPr>
          <w:p>
            <w:pPr>
              <w:spacing w:after="0"/>
            </w:pPr>
            <w:r/>
            <w:r>
              <w:rPr>
                <w:rFonts w:ascii="Times New Roman" w:hAnsi="Times New Roman" w:eastAsia="Times New Roman"/>
                <w:b w:val="0"/>
                <w:sz w:val="17"/>
              </w:rPr>
              <w:t>Strong support for SHGTF.</w:t>
            </w:r>
          </w:p>
        </w:tc>
      </w:tr>
      <w:tr>
        <w:tc>
          <w:tcPr>
            <w:tcW w:type="dxa" w:w="3360"/>
            <w:vAlign w:val="top"/>
          </w:tcPr>
          <w:p>
            <w:pPr>
              <w:spacing w:after="0"/>
            </w:pPr>
            <w:r/>
            <w:r>
              <w:rPr>
                <w:rFonts w:ascii="Times New Roman" w:hAnsi="Times New Roman" w:eastAsia="Times New Roman"/>
                <w:b w:val="0"/>
                <w:sz w:val="17"/>
              </w:rPr>
              <w:t>Authority clear; resources or school context block action</w:t>
            </w:r>
          </w:p>
        </w:tc>
        <w:tc>
          <w:tcPr>
            <w:tcW w:type="dxa" w:w="3360"/>
            <w:vAlign w:val="top"/>
          </w:tcPr>
          <w:p>
            <w:pPr>
              <w:spacing w:after="0"/>
            </w:pPr>
            <w:r/>
            <w:r>
              <w:rPr>
                <w:rFonts w:ascii="Times New Roman" w:hAnsi="Times New Roman" w:eastAsia="Times New Roman"/>
                <w:b w:val="0"/>
                <w:sz w:val="17"/>
              </w:rPr>
              <w:t>Operational-feasibility failure</w:t>
            </w:r>
          </w:p>
        </w:tc>
        <w:tc>
          <w:tcPr>
            <w:tcW w:type="dxa" w:w="3360"/>
            <w:vAlign w:val="top"/>
          </w:tcPr>
          <w:p>
            <w:pPr>
              <w:spacing w:after="0"/>
            </w:pPr>
            <w:r/>
            <w:r>
              <w:rPr>
                <w:rFonts w:ascii="Times New Roman" w:hAnsi="Times New Roman" w:eastAsia="Times New Roman"/>
                <w:b w:val="0"/>
                <w:sz w:val="17"/>
              </w:rPr>
              <w:t>Supports SHGTF with a capacity mechanism.</w:t>
            </w:r>
          </w:p>
        </w:tc>
      </w:tr>
      <w:tr>
        <w:tc>
          <w:tcPr>
            <w:tcW w:type="dxa" w:w="3360"/>
            <w:vAlign w:val="top"/>
          </w:tcPr>
          <w:p>
            <w:pPr>
              <w:spacing w:after="0"/>
            </w:pPr>
            <w:r/>
            <w:r>
              <w:rPr>
                <w:rFonts w:ascii="Times New Roman" w:hAnsi="Times New Roman" w:eastAsia="Times New Roman"/>
                <w:b w:val="0"/>
                <w:sz w:val="17"/>
              </w:rPr>
              <w:t>Action taken but creates unsafe dispersal/holding consequences</w:t>
            </w:r>
          </w:p>
        </w:tc>
        <w:tc>
          <w:tcPr>
            <w:tcW w:type="dxa" w:w="3360"/>
            <w:vAlign w:val="top"/>
          </w:tcPr>
          <w:p>
            <w:pPr>
              <w:spacing w:after="0"/>
            </w:pPr>
            <w:r/>
            <w:r>
              <w:rPr>
                <w:rFonts w:ascii="Times New Roman" w:hAnsi="Times New Roman" w:eastAsia="Times New Roman"/>
                <w:b w:val="0"/>
                <w:sz w:val="17"/>
              </w:rPr>
              <w:t>Protective-continuity / risk-transfer failure</w:t>
            </w:r>
          </w:p>
        </w:tc>
        <w:tc>
          <w:tcPr>
            <w:tcW w:type="dxa" w:w="3360"/>
            <w:vAlign w:val="top"/>
          </w:tcPr>
          <w:p>
            <w:pPr>
              <w:spacing w:after="0"/>
            </w:pPr>
            <w:r/>
            <w:r>
              <w:rPr>
                <w:rFonts w:ascii="Times New Roman" w:hAnsi="Times New Roman" w:eastAsia="Times New Roman"/>
                <w:b w:val="0"/>
                <w:sz w:val="17"/>
              </w:rPr>
              <w:t>Shows action is an insufficient outcome measure.</w:t>
            </w:r>
          </w:p>
        </w:tc>
      </w:tr>
      <w:tr>
        <w:tc>
          <w:tcPr>
            <w:tcW w:type="dxa" w:w="3360"/>
            <w:vAlign w:val="top"/>
          </w:tcPr>
          <w:p>
            <w:pPr>
              <w:spacing w:after="0"/>
            </w:pPr>
            <w:r/>
            <w:r>
              <w:rPr>
                <w:rFonts w:ascii="Times New Roman" w:hAnsi="Times New Roman" w:eastAsia="Times New Roman"/>
                <w:b w:val="0"/>
                <w:sz w:val="17"/>
              </w:rPr>
              <w:t>Policy, principal, teacher and practice align; effective action occurs</w:t>
            </w:r>
          </w:p>
        </w:tc>
        <w:tc>
          <w:tcPr>
            <w:tcW w:type="dxa" w:w="3360"/>
            <w:vAlign w:val="top"/>
          </w:tcPr>
          <w:p>
            <w:pPr>
              <w:spacing w:after="0"/>
            </w:pPr>
            <w:r/>
            <w:r>
              <w:rPr>
                <w:rFonts w:ascii="Times New Roman" w:hAnsi="Times New Roman" w:eastAsia="Times New Roman"/>
                <w:b w:val="0"/>
                <w:sz w:val="17"/>
              </w:rPr>
              <w:t>Institutionalised / positive-deviant case</w:t>
            </w:r>
          </w:p>
        </w:tc>
        <w:tc>
          <w:tcPr>
            <w:tcW w:type="dxa" w:w="3360"/>
            <w:vAlign w:val="top"/>
          </w:tcPr>
          <w:p>
            <w:pPr>
              <w:spacing w:after="0"/>
            </w:pPr>
            <w:r/>
            <w:r>
              <w:rPr>
                <w:rFonts w:ascii="Times New Roman" w:hAnsi="Times New Roman" w:eastAsia="Times New Roman"/>
                <w:b w:val="0"/>
                <w:sz w:val="17"/>
              </w:rPr>
              <w:t>Disconfirms a blanket “schools are not institutionalised” claim and identifies enabling mechanisms.</w:t>
            </w:r>
          </w:p>
        </w:tc>
      </w:tr>
    </w:tbl>
    <w:p>
      <w:pPr>
        <w:pStyle w:val="Heading2"/>
      </w:pPr>
      <w:r>
        <w:t>3.1 Cross-cutting theoretical tensions that the fieldwork must adjudicate</w:t>
      </w:r>
    </w:p>
    <w:p>
      <w:pPr>
        <w:spacing w:after="100" w:line="283" w:lineRule="auto"/>
      </w:pPr>
      <w:r>
        <w:rPr>
          <w:rFonts w:ascii="Times New Roman" w:hAnsi="Times New Roman" w:eastAsia="Times New Roman"/>
          <w:sz w:val="22"/>
        </w:rPr>
        <w:t>The seven arguments above identify possible failure mechanisms, but a stronger theory must also confront trade-offs within governance itself. The study therefore treats the following tensions as empirical questions rather than assuming that more rules, more discretion, more coherence or more action are always beneficial. This move is important because school heat governance involves both bureaucratic accountability and situational judgement under changing risk.</w:t>
      </w:r>
    </w:p>
    <w:p>
      <w:pPr>
        <w:pStyle w:val="Heading3"/>
      </w:pPr>
      <w:r>
        <w:t>Tension 1 — Forecast lead time versus administrative latency</w:t>
      </w:r>
    </w:p>
    <w:p>
      <w:pPr>
        <w:spacing w:after="100" w:line="283" w:lineRule="auto"/>
      </w:pPr>
      <w:r>
        <w:rPr>
          <w:rFonts w:ascii="Times New Roman" w:hAnsi="Times New Roman" w:eastAsia="Times New Roman"/>
          <w:sz w:val="22"/>
        </w:rPr>
        <w:t>Heat is unusually forecastable compared with many rapid-onset hazards. That lead time has protective value only if institutional decision processes move quickly enough to use it. A technically earlier warning can therefore produce no anticipatory benefit when schools wait for a later education-sector instruction, approval or confirmation. The critical variable is not simply forecast lead time, but usable institutional lead time: the time remaining after the warning has travelled through the decision hierarchy.</w:t>
      </w:r>
    </w:p>
    <w:p>
      <w:pPr>
        <w:spacing w:after="100" w:line="283" w:lineRule="auto"/>
      </w:pPr>
      <w:r>
        <w:rPr>
          <w:rFonts w:ascii="Times New Roman" w:hAnsi="Times New Roman" w:eastAsia="Times New Roman"/>
          <w:sz w:val="22"/>
        </w:rPr>
        <w:t>Empirical challenge: Counter-argument to test: later centralised instruction may be rational because it prevents schools from acting on uncertain forecasts and preserves system-wide consistency. The study will therefore examine when waiting reduces false or premature action and when it merely consumes the protective value of advance warning.</w:t>
      </w:r>
    </w:p>
    <w:p>
      <w:pPr>
        <w:pStyle w:val="Heading3"/>
      </w:pPr>
      <w:r>
        <w:t>Tension 2 — Standardisation versus bounded discretion</w:t>
      </w:r>
    </w:p>
    <w:p>
      <w:pPr>
        <w:spacing w:after="100" w:line="283" w:lineRule="auto"/>
      </w:pPr>
      <w:r>
        <w:rPr>
          <w:rFonts w:ascii="Times New Roman" w:hAnsi="Times New Roman" w:eastAsia="Times New Roman"/>
          <w:sz w:val="22"/>
        </w:rPr>
        <w:t>A highly standardised school procedure can reduce ambiguity, but heat risk is spatially and operationally uneven. Conversely, wide principal discretion can improve local adaptation while producing inconsistent protection across schools. Street-level bureaucracy research conceptualises principals as frontline managers whose discretion helps bridge policy-as-designed and policy-as-implemented (Davidovitz &amp; Schechter, 2024). The governance problem is therefore not “centralisation or autonomy” but how to design bounded discretion: a clear minimum protective floor combined with defined authority to strengthen precautions when local conditions warrant it.</w:t>
      </w:r>
    </w:p>
    <w:p>
      <w:pPr>
        <w:spacing w:after="100" w:line="283" w:lineRule="auto"/>
      </w:pPr>
      <w:r>
        <w:rPr>
          <w:rFonts w:ascii="Times New Roman" w:hAnsi="Times New Roman" w:eastAsia="Times New Roman"/>
          <w:sz w:val="22"/>
        </w:rPr>
        <w:t>Empirical challenge: Counter-argument to test: the Delhi system may already contain adequate discretionary space, and variation may instead reflect resources, interpretation or leadership. Official and school interviews will separate actual delegated discretion from perceived discretion.</w:t>
      </w:r>
    </w:p>
    <w:p>
      <w:pPr>
        <w:pStyle w:val="Heading3"/>
      </w:pPr>
      <w:r>
        <w:t>Tension 3 — Institutional coherence versus substantive adequacy</w:t>
      </w:r>
    </w:p>
    <w:p>
      <w:pPr>
        <w:spacing w:after="100" w:line="283" w:lineRule="auto"/>
      </w:pPr>
      <w:r>
        <w:rPr>
          <w:rFonts w:ascii="Times New Roman" w:hAnsi="Times New Roman" w:eastAsia="Times New Roman"/>
          <w:sz w:val="22"/>
        </w:rPr>
        <w:t>Agreement among policy, principal and teacher is not automatically evidence of a good system. All actors can coherently reproduce an inadequate or overly narrow rule. Institutional coherence is therefore treated as an implementation property, not a normative measure of protection. The study asks two separate questions: are actors aligned, and is the aligned action substantively capable of reducing child heat risk?</w:t>
      </w:r>
    </w:p>
    <w:p>
      <w:pPr>
        <w:spacing w:after="100" w:line="283" w:lineRule="auto"/>
      </w:pPr>
      <w:r>
        <w:rPr>
          <w:rFonts w:ascii="Times New Roman" w:hAnsi="Times New Roman" w:eastAsia="Times New Roman"/>
          <w:sz w:val="22"/>
        </w:rPr>
        <w:t>Empirical challenge: Counter-argument to test: in routine school governance, shared interpretation itself may be the dominant condition for reliable action. Positive cases will show whether coherence is sufficient when policy specification and resources are strong.</w:t>
      </w:r>
    </w:p>
    <w:p>
      <w:pPr>
        <w:pStyle w:val="Heading3"/>
      </w:pPr>
      <w:r>
        <w:t>Tension 4 — Metropolitan warning scale versus school-scale exposure</w:t>
      </w:r>
    </w:p>
    <w:p>
      <w:pPr>
        <w:spacing w:after="100" w:line="283" w:lineRule="auto"/>
      </w:pPr>
      <w:r>
        <w:rPr>
          <w:rFonts w:ascii="Times New Roman" w:hAnsi="Times New Roman" w:eastAsia="Times New Roman"/>
          <w:sz w:val="22"/>
        </w:rPr>
        <w:t>A city- or district-level warning cannot fully represent classroom-level differences created by floor level, shade, ventilation, crowding, power failure or water availability. Yet allowing schools to independently reinterpret official warning severity could undermine a coherent public warning system. The study therefore distinguishes authoritative hazard classification from local situational appraisal: local evidence may justify strengthening precautions within delegated authority, but should not be used by a school to downgrade an official warning.</w:t>
      </w:r>
    </w:p>
    <w:p>
      <w:pPr>
        <w:spacing w:after="100" w:line="283" w:lineRule="auto"/>
      </w:pPr>
      <w:r>
        <w:rPr>
          <w:rFonts w:ascii="Times New Roman" w:hAnsi="Times New Roman" w:eastAsia="Times New Roman"/>
          <w:sz w:val="22"/>
        </w:rPr>
        <w:t>Empirical challenge: Counter-argument to test: local variation may matter less than expected if central school directions are deliberately conservative and sufficiently protective across contexts.</w:t>
      </w:r>
    </w:p>
    <w:p>
      <w:pPr>
        <w:pStyle w:val="Heading3"/>
      </w:pPr>
      <w:r>
        <w:t>Tension 5 — Administrative compliance versus protective outcome</w:t>
      </w:r>
    </w:p>
    <w:p>
      <w:pPr>
        <w:spacing w:after="100" w:line="283" w:lineRule="auto"/>
      </w:pPr>
      <w:r>
        <w:rPr>
          <w:rFonts w:ascii="Times New Roman" w:hAnsi="Times New Roman" w:eastAsia="Times New Roman"/>
          <w:sz w:val="22"/>
        </w:rPr>
        <w:t>The visible completion of an authorised action is an inadequate endpoint. Climate-adaptation research increasingly emphasises trade-offs, equity and the possibility of adverse adaptation outcomes (Higuera Roa et al., 2025; Singh et al., 2024). In a school, early dispersal may lower exposure inside the building but increase exposure during travel, remove supervision, or impose unequal burdens on households. The analytical outcome must therefore be protective continuity, not compliance alone.</w:t>
      </w:r>
    </w:p>
    <w:p>
      <w:pPr>
        <w:spacing w:after="100" w:line="283" w:lineRule="auto"/>
      </w:pPr>
      <w:r>
        <w:rPr>
          <w:rFonts w:ascii="Times New Roman" w:hAnsi="Times New Roman" w:eastAsia="Times New Roman"/>
          <w:sz w:val="22"/>
        </w:rPr>
        <w:t>Empirical challenge: Counter-argument to test: for some schools and age groups, dispersal or closure may clearly lower total risk. The study will assess the conditions under which risk transfer is plausible rather than treating every disruption as maladaptation.</w:t>
      </w:r>
    </w:p>
    <w:p>
      <w:pPr>
        <w:pStyle w:val="Heading3"/>
      </w:pPr>
      <w:r>
        <w:t>Tension 6 — Equal rules versus unequal capacity to comply</w:t>
      </w:r>
    </w:p>
    <w:p>
      <w:pPr>
        <w:spacing w:after="100" w:line="283" w:lineRule="auto"/>
      </w:pPr>
      <w:r>
        <w:rPr>
          <w:rFonts w:ascii="Times New Roman" w:hAnsi="Times New Roman" w:eastAsia="Times New Roman"/>
          <w:sz w:val="22"/>
        </w:rPr>
        <w:t>Uniform rules can appear equitable while generating unequal protection if resource-poor schools have less water reliability, shade, ventilation, staffing flexibility or parent transport capacity. Heat resilience is multidimensional, and adaptation literature stresses differentiated vulnerability and context (Saunik &amp; Shaw, 2026; Singh et al., 2024). The study will therefore distinguish equality of instruction from equity of implementability.</w:t>
      </w:r>
    </w:p>
    <w:p>
      <w:pPr>
        <w:spacing w:after="100" w:line="283" w:lineRule="auto"/>
      </w:pPr>
      <w:r>
        <w:rPr>
          <w:rFonts w:ascii="Times New Roman" w:hAnsi="Times New Roman" w:eastAsia="Times New Roman"/>
          <w:sz w:val="22"/>
        </w:rPr>
        <w:t>Empirical challenge: Counter-argument to test: minimum actions may be deliberately designed to be low-cost and widely feasible. Observation will test whether resource assumptions actually differentiate implementation.</w:t>
      </w:r>
    </w:p>
    <w:p>
      <w:pPr>
        <w:pStyle w:val="Heading3"/>
      </w:pPr>
      <w:r>
        <w:t>Tension 7 — Event-based heatwave governance versus cumulative heat exposure</w:t>
      </w:r>
    </w:p>
    <w:p>
      <w:pPr>
        <w:spacing w:after="100" w:line="283" w:lineRule="auto"/>
      </w:pPr>
      <w:r>
        <w:rPr>
          <w:rFonts w:ascii="Times New Roman" w:hAnsi="Times New Roman" w:eastAsia="Times New Roman"/>
          <w:sz w:val="22"/>
        </w:rPr>
        <w:t>An event-based warning system is necessary for acute escalation, but schools experience heat as a seasonal and cumulative condition. Moderate but persistent heat can affect classrooms before an official severe threshold is reached. This creates a temporal mismatch between event-triggered response and long-term adaptation. The framework therefore separates pre-season readiness and everyday hot-weather management from alert-triggered escalation.</w:t>
      </w:r>
    </w:p>
    <w:p>
      <w:pPr>
        <w:spacing w:after="100" w:line="283" w:lineRule="auto"/>
      </w:pPr>
      <w:r>
        <w:rPr>
          <w:rFonts w:ascii="Times New Roman" w:hAnsi="Times New Roman" w:eastAsia="Times New Roman"/>
          <w:sz w:val="22"/>
        </w:rPr>
        <w:t>Empirical challenge: Counter-argument to test: the research may become too broad if it treats all summer discomfort as “heatwave governance.” The empirical analysis will keep official warning episodes distinct while using seasonal conditions only to explain preparedness and feasibility.</w:t>
      </w:r>
    </w:p>
    <w:p>
      <w:pPr>
        <w:pStyle w:val="Heading3"/>
      </w:pPr>
      <w:r>
        <w:t>Tension 8 — Reporting upward versus learning downward</w:t>
      </w:r>
    </w:p>
    <w:p>
      <w:pPr>
        <w:spacing w:after="100" w:line="283" w:lineRule="auto"/>
      </w:pPr>
      <w:r>
        <w:rPr>
          <w:rFonts w:ascii="Times New Roman" w:hAnsi="Times New Roman" w:eastAsia="Times New Roman"/>
          <w:sz w:val="22"/>
        </w:rPr>
        <w:t>A system can collect compliance information without learning from it. Institutional learning requires more than upward reporting: recurring school constraints must be interpreted, acted upon and reflected in later guidance, repairs, training or delegated authority. Otherwise, feedback becomes administrative documentation rather than adaptation.</w:t>
      </w:r>
    </w:p>
    <w:p>
      <w:pPr>
        <w:spacing w:after="100" w:line="283" w:lineRule="auto"/>
      </w:pPr>
      <w:r>
        <w:rPr>
          <w:rFonts w:ascii="Times New Roman" w:hAnsi="Times New Roman" w:eastAsia="Times New Roman"/>
          <w:sz w:val="22"/>
        </w:rPr>
        <w:t>Empirical challenge: Counter-argument to test: learning may occur informally through zonal communication, peer exchange or annual circular revision even without a formal feedback architecture. Interviews will trace actual changes across seasons before concluding that the loop is absent.</w:t>
      </w:r>
    </w:p>
    <w:p>
      <w:pPr>
        <w:spacing w:after="100" w:line="283" w:lineRule="auto"/>
      </w:pPr>
      <w:r>
        <w:rPr>
          <w:rFonts w:ascii="Times New Roman" w:hAnsi="Times New Roman" w:eastAsia="Times New Roman"/>
          <w:sz w:val="22"/>
        </w:rPr>
        <w:t>Taken together, these tensions shift the thesis from a deficit checklist to a governance explanation. The study does not ask which school “complies most.” It asks how warning information, discretion, context, resources and duty of care are configured, what trade-offs those configurations create, and which configuration produces the most defensible child-protective outcome under a common public-school system.</w:t>
      </w:r>
    </w:p>
    <w:p>
      <w:pPr>
        <w:pStyle w:val="Heading1"/>
      </w:pPr>
      <w:r>
        <w:t>4. SCHOOL HEAT GOVERNANCE TRANSLATION FRAMEWORK (SHGTF)</w:t>
      </w:r>
    </w:p>
    <w:p>
      <w:pPr>
        <w:pStyle w:val="Heading2"/>
      </w:pPr>
      <w:r>
        <w:t>4.1 Why one integrated framework rather than multiple parallel frameworks</w:t>
      </w:r>
    </w:p>
    <w:p>
      <w:pPr>
        <w:spacing w:after="100" w:line="283" w:lineRule="auto"/>
      </w:pPr>
      <w:r>
        <w:rPr>
          <w:rFonts w:ascii="Times New Roman" w:hAnsi="Times New Roman" w:eastAsia="Times New Roman"/>
          <w:i w:val="0"/>
          <w:sz w:val="22"/>
        </w:rPr>
        <w:t>Earlier versions of the study mapped Mental Models, multi-hazard early warning, RIDM, heat resilience and Humanity-Centered Design as parallel frameworks. That approach risks conceptual overload because the frameworks operate at different levels: some are normative system architectures, some explain individual cognition, some assess resilience capacity and some guide design. Treating all as co-equal explanatory frameworks creates redundant constructs and makes it difficult to specify the causal claim.</w:t>
      </w:r>
    </w:p>
    <w:p>
      <w:pPr>
        <w:spacing w:after="100" w:line="283" w:lineRule="auto"/>
      </w:pPr>
      <w:r>
        <w:rPr>
          <w:rFonts w:ascii="Times New Roman" w:hAnsi="Times New Roman" w:eastAsia="Times New Roman"/>
          <w:i w:val="0"/>
          <w:sz w:val="22"/>
        </w:rPr>
        <w:t>SHGTF therefore uses policy enactment as the main theoretical anchor and draws selected sensitising concepts from the other literatures only where they solve a specific analytical problem. Mental-model thinking informs interpretive coherence; RIDM and protective-action research inform response efficacy, cost and familiar-practice mechanisms; heat-resilience scholarship informs contextual capacity; early-warning research informs trigger and communication architecture; and participatory/Humanity-Centered work informs later design refinement. The thesis tests one integrated mechanism model rather than five separate theories.</w:t>
      </w:r>
    </w:p>
    <w:p>
      <w:pPr>
        <w:pStyle w:val="Heading2"/>
      </w:pPr>
      <w:r>
        <w:t>4.2 Central construct: institutional heat actionability</w:t>
      </w:r>
    </w:p>
    <w:p>
      <w:pPr>
        <w:spacing w:after="100" w:line="283" w:lineRule="auto"/>
      </w:pPr>
      <w:r>
        <w:rPr>
          <w:rFonts w:ascii="Times New Roman" w:hAnsi="Times New Roman" w:eastAsia="Times New Roman"/>
          <w:i w:val="0"/>
          <w:sz w:val="22"/>
        </w:rPr>
        <w:t>Institutional heat actionability is defined in this study as the capacity of a school to translate authoritative heat-risk information and government guidance into timely, authorised, feasible, proportionate and child-protective action under its actual institutional and material conditions. The construct is intentionally relational. It is not reducible to knowledge, infrastructure, authority or preparedness alone; it concerns whether these elements work together at the point of decision.</w:t>
      </w:r>
    </w:p>
    <w:p>
      <w:pPr>
        <w:spacing w:after="100" w:line="283" w:lineRule="auto"/>
      </w:pPr>
      <w:r>
        <w:rPr>
          <w:rFonts w:ascii="Times New Roman" w:hAnsi="Times New Roman" w:eastAsia="Times New Roman"/>
          <w:i w:val="0"/>
          <w:sz w:val="22"/>
        </w:rPr>
        <w:t>Conceptually, institutional heat actionability can be represented as: Actionability = f(formal specification, preparedness, interpretive coherence, decision jurisdiction, operational feasibility, protective continuity | school context) + learning over time. This is not a mathematical formula or proposed score. It is a statement that the outcome is configurational: weakness in one component may block action even when other components are strong.</w:t>
      </w:r>
    </w:p>
    <w:p>
      <w:pPr>
        <w:spacing w:after="100" w:line="283" w:lineRule="auto"/>
      </w:pPr>
      <w:r>
        <w:rPr>
          <w:rFonts w:ascii="Times New Roman" w:hAnsi="Times New Roman" w:eastAsia="Times New Roman"/>
          <w:sz w:val="22"/>
        </w:rPr>
        <w:t>Two safeguards are built into this construct. First, institutional coherence is not equated with substantive adequacy: actors may agree on an action that is still insufficient for the local risk. Second, school discretion is not assumed to be inherently positive: actionability requires bounded discretion, meaning enough authority to respond to local conditions while retaining a common protective minimum and clear escalation rules. These safeguards prevent SHGTF from collapsing into either a compliance model or an autonomy model.</w:t>
      </w:r>
    </w:p>
    <w:p>
      <w:pPr>
        <w:pStyle w:val="Heading2"/>
      </w:pPr>
      <w:r>
        <w:t>4.3 Three levels of the SHGTF</w:t>
      </w:r>
    </w:p>
    <w:p>
      <w:pPr>
        <w:spacing w:after="100" w:line="283" w:lineRule="auto"/>
      </w:pPr>
      <w:r>
        <w:rPr>
          <w:rFonts w:ascii="Times New Roman" w:hAnsi="Times New Roman" w:eastAsia="Times New Roman"/>
          <w:i w:val="0"/>
          <w:sz w:val="22"/>
        </w:rPr>
        <w:t>Level 1 — Formal governance specification. This level reconstructs what official documents make actionable: the hazard trigger, intended action, designated actor, decision authority, assumed resources, exceptions and reporting obligations. The Expert Model therefore remains useful, but only as a documentary “as-is” model rather than as the conceptual theory itself.</w:t>
      </w:r>
    </w:p>
    <w:p>
      <w:pPr>
        <w:spacing w:after="100" w:line="283" w:lineRule="auto"/>
      </w:pPr>
      <w:r>
        <w:rPr>
          <w:rFonts w:ascii="Times New Roman" w:hAnsi="Times New Roman" w:eastAsia="Times New Roman"/>
          <w:i w:val="0"/>
          <w:sz w:val="22"/>
        </w:rPr>
        <w:t>Level 2 — School translation arena. This is the core explanatory level. Formal heat information enters a school that already has a history, routines, staff relationships, infrastructure and external dependencies. The policy is interpreted and enacted through four connected conditions: preparedness, interpretive coherence, decision jurisdiction and operational feasibility.</w:t>
      </w:r>
    </w:p>
    <w:p>
      <w:pPr>
        <w:spacing w:after="100" w:line="283" w:lineRule="auto"/>
      </w:pPr>
      <w:r>
        <w:rPr>
          <w:rFonts w:ascii="Times New Roman" w:hAnsi="Times New Roman" w:eastAsia="Times New Roman"/>
          <w:i w:val="0"/>
          <w:sz w:val="22"/>
        </w:rPr>
        <w:t>Level 3 — Protective continuity and outcome. The study evaluates whether the enacted response produces a child-protective outcome, including age-differentiated supervision, safe activity modification, heat-illness response, controlled dispersal, delayed guardian arrangements and avoidance of unmanaged risk transfer. The final outcome is institutional heat actionability, followed by a learning loop.</w:t>
      </w:r>
    </w:p>
    <w:p>
      <w:pPr>
        <w:jc w:val="center"/>
      </w:pPr>
      <w:r>
        <w:drawing>
          <wp:inline xmlns:a="http://schemas.openxmlformats.org/drawingml/2006/main" xmlns:pic="http://schemas.openxmlformats.org/drawingml/2006/picture">
            <wp:extent cx="5532120" cy="3641941"/>
            <wp:docPr id="1" name="Picture 1"/>
            <wp:cNvGraphicFramePr>
              <a:graphicFrameLocks noChangeAspect="1"/>
            </wp:cNvGraphicFramePr>
            <a:graphic>
              <a:graphicData uri="http://schemas.openxmlformats.org/drawingml/2006/picture">
                <pic:pic>
                  <pic:nvPicPr>
                    <pic:cNvPr id="0" name="SHGTF_deep_critical_framework.png"/>
                    <pic:cNvPicPr/>
                  </pic:nvPicPr>
                  <pic:blipFill>
                    <a:blip r:embed="rId11"/>
                    <a:stretch>
                      <a:fillRect/>
                    </a:stretch>
                  </pic:blipFill>
                  <pic:spPr>
                    <a:xfrm>
                      <a:off x="0" y="0"/>
                      <a:ext cx="5532120" cy="3641941"/>
                    </a:xfrm>
                    <a:prstGeom prst="rect"/>
                  </pic:spPr>
                </pic:pic>
              </a:graphicData>
            </a:graphic>
          </wp:inline>
        </w:drawing>
      </w:r>
    </w:p>
    <w:p>
      <w:pPr>
        <w:jc w:val="center"/>
      </w:pPr>
      <w:r>
        <w:rPr>
          <w:rFonts w:ascii="Times New Roman" w:hAnsi="Times New Roman" w:eastAsia="Times New Roman"/>
          <w:i/>
          <w:sz w:val="18"/>
        </w:rPr>
        <w:t>Figure 1. Provisional School Heat Governance Translation Framework (SHGTF).</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pPr>
              <w:spacing w:after="0"/>
            </w:pPr>
            <w:r/>
            <w:r>
              <w:rPr>
                <w:rFonts w:ascii="Times New Roman" w:hAnsi="Times New Roman" w:eastAsia="Times New Roman"/>
                <w:b/>
                <w:sz w:val="16"/>
              </w:rPr>
              <w:t>Construct</w:t>
            </w:r>
          </w:p>
        </w:tc>
        <w:tc>
          <w:tcPr>
            <w:tcW w:type="dxa" w:w="3360"/>
            <w:vAlign w:val="top"/>
            <w:shd w:fill="D9EAF7"/>
          </w:tcPr>
          <w:p>
            <w:pPr>
              <w:spacing w:after="0"/>
            </w:pPr>
            <w:r/>
            <w:r>
              <w:rPr>
                <w:rFonts w:ascii="Times New Roman" w:hAnsi="Times New Roman" w:eastAsia="Times New Roman"/>
                <w:b/>
                <w:sz w:val="16"/>
              </w:rPr>
              <w:t>Definition in this study</w:t>
            </w:r>
          </w:p>
        </w:tc>
        <w:tc>
          <w:tcPr>
            <w:tcW w:type="dxa" w:w="3360"/>
            <w:vAlign w:val="top"/>
            <w:shd w:fill="D9EAF7"/>
          </w:tcPr>
          <w:p>
            <w:pPr>
              <w:spacing w:after="0"/>
            </w:pPr>
            <w:r/>
            <w:r>
              <w:rPr>
                <w:rFonts w:ascii="Times New Roman" w:hAnsi="Times New Roman" w:eastAsia="Times New Roman"/>
                <w:b/>
                <w:sz w:val="16"/>
              </w:rPr>
              <w:t>Indicative evidence</w:t>
            </w:r>
          </w:p>
        </w:tc>
      </w:tr>
      <w:tr>
        <w:tc>
          <w:tcPr>
            <w:tcW w:type="dxa" w:w="3360"/>
            <w:vAlign w:val="top"/>
          </w:tcPr>
          <w:p>
            <w:pPr>
              <w:spacing w:after="0"/>
            </w:pPr>
            <w:r/>
            <w:r>
              <w:rPr>
                <w:rFonts w:ascii="Times New Roman" w:hAnsi="Times New Roman" w:eastAsia="Times New Roman"/>
                <w:b w:val="0"/>
                <w:sz w:val="16"/>
              </w:rPr>
              <w:t>Formal specification</w:t>
            </w:r>
          </w:p>
        </w:tc>
        <w:tc>
          <w:tcPr>
            <w:tcW w:type="dxa" w:w="3360"/>
            <w:vAlign w:val="top"/>
          </w:tcPr>
          <w:p>
            <w:pPr>
              <w:spacing w:after="0"/>
            </w:pPr>
            <w:r/>
            <w:r>
              <w:rPr>
                <w:rFonts w:ascii="Times New Roman" w:hAnsi="Times New Roman" w:eastAsia="Times New Roman"/>
                <w:b w:val="0"/>
                <w:sz w:val="16"/>
              </w:rPr>
              <w:t>Degree to which policy connects risk information to a usable school decision architecture.</w:t>
            </w:r>
          </w:p>
        </w:tc>
        <w:tc>
          <w:tcPr>
            <w:tcW w:type="dxa" w:w="3360"/>
            <w:vAlign w:val="top"/>
          </w:tcPr>
          <w:p>
            <w:pPr>
              <w:spacing w:after="0"/>
            </w:pPr>
            <w:r/>
            <w:r>
              <w:rPr>
                <w:rFonts w:ascii="Times New Roman" w:hAnsi="Times New Roman" w:eastAsia="Times New Roman"/>
                <w:b w:val="0"/>
                <w:sz w:val="16"/>
              </w:rPr>
              <w:t>Trigger; actor; action; authority; minimum resources; exceptions; reporting/review.</w:t>
            </w:r>
          </w:p>
        </w:tc>
      </w:tr>
      <w:tr>
        <w:tc>
          <w:tcPr>
            <w:tcW w:type="dxa" w:w="3360"/>
            <w:vAlign w:val="top"/>
          </w:tcPr>
          <w:p>
            <w:pPr>
              <w:spacing w:after="0"/>
            </w:pPr>
            <w:r/>
            <w:r>
              <w:rPr>
                <w:rFonts w:ascii="Times New Roman" w:hAnsi="Times New Roman" w:eastAsia="Times New Roman"/>
                <w:b w:val="0"/>
                <w:sz w:val="16"/>
              </w:rPr>
              <w:t>Preparedness</w:t>
            </w:r>
          </w:p>
        </w:tc>
        <w:tc>
          <w:tcPr>
            <w:tcW w:type="dxa" w:w="3360"/>
            <w:vAlign w:val="top"/>
          </w:tcPr>
          <w:p>
            <w:pPr>
              <w:spacing w:after="0"/>
            </w:pPr>
            <w:r/>
            <w:r>
              <w:rPr>
                <w:rFonts w:ascii="Times New Roman" w:hAnsi="Times New Roman" w:eastAsia="Times New Roman"/>
                <w:b w:val="0"/>
                <w:sz w:val="16"/>
              </w:rPr>
              <w:t>Readiness established before live escalation.</w:t>
            </w:r>
          </w:p>
        </w:tc>
        <w:tc>
          <w:tcPr>
            <w:tcW w:type="dxa" w:w="3360"/>
            <w:vAlign w:val="top"/>
          </w:tcPr>
          <w:p>
            <w:pPr>
              <w:spacing w:after="0"/>
            </w:pPr>
            <w:r/>
            <w:r>
              <w:rPr>
                <w:rFonts w:ascii="Times New Roman" w:hAnsi="Times New Roman" w:eastAsia="Times New Roman"/>
                <w:b w:val="0"/>
                <w:sz w:val="16"/>
              </w:rPr>
              <w:t>Focal/alternate; plan; water/fan/ventilation checks; parent contacts; health referral; safe space; scenario preparation.</w:t>
            </w:r>
          </w:p>
        </w:tc>
      </w:tr>
      <w:tr>
        <w:tc>
          <w:tcPr>
            <w:tcW w:type="dxa" w:w="3360"/>
            <w:vAlign w:val="top"/>
          </w:tcPr>
          <w:p>
            <w:pPr>
              <w:spacing w:after="0"/>
            </w:pPr>
            <w:r/>
            <w:r>
              <w:rPr>
                <w:rFonts w:ascii="Times New Roman" w:hAnsi="Times New Roman" w:eastAsia="Times New Roman"/>
                <w:b w:val="0"/>
                <w:sz w:val="16"/>
              </w:rPr>
              <w:t>Interpretive coherence</w:t>
            </w:r>
          </w:p>
        </w:tc>
        <w:tc>
          <w:tcPr>
            <w:tcW w:type="dxa" w:w="3360"/>
            <w:vAlign w:val="top"/>
          </w:tcPr>
          <w:p>
            <w:pPr>
              <w:spacing w:after="0"/>
            </w:pPr>
            <w:r/>
            <w:r>
              <w:rPr>
                <w:rFonts w:ascii="Times New Roman" w:hAnsi="Times New Roman" w:eastAsia="Times New Roman"/>
                <w:b w:val="0"/>
                <w:sz w:val="16"/>
              </w:rPr>
              <w:t>Alignment of policy, principal and teacher understanding of the same trigger, role and action.</w:t>
            </w:r>
          </w:p>
        </w:tc>
        <w:tc>
          <w:tcPr>
            <w:tcW w:type="dxa" w:w="3360"/>
            <w:vAlign w:val="top"/>
          </w:tcPr>
          <w:p>
            <w:pPr>
              <w:spacing w:after="0"/>
            </w:pPr>
            <w:r/>
            <w:r>
              <w:rPr>
                <w:rFonts w:ascii="Times New Roman" w:hAnsi="Times New Roman" w:eastAsia="Times New Roman"/>
                <w:b w:val="0"/>
                <w:sz w:val="16"/>
              </w:rPr>
              <w:t>Matched vignette responses; policy-principal-teacher-practice convergence/divergence.</w:t>
            </w:r>
          </w:p>
        </w:tc>
      </w:tr>
      <w:tr>
        <w:tc>
          <w:tcPr>
            <w:tcW w:type="dxa" w:w="3360"/>
            <w:vAlign w:val="top"/>
          </w:tcPr>
          <w:p>
            <w:pPr>
              <w:spacing w:after="0"/>
            </w:pPr>
            <w:r/>
            <w:r>
              <w:rPr>
                <w:rFonts w:ascii="Times New Roman" w:hAnsi="Times New Roman" w:eastAsia="Times New Roman"/>
                <w:b w:val="0"/>
                <w:sz w:val="16"/>
              </w:rPr>
              <w:t>Decision jurisdiction</w:t>
            </w:r>
          </w:p>
        </w:tc>
        <w:tc>
          <w:tcPr>
            <w:tcW w:type="dxa" w:w="3360"/>
            <w:vAlign w:val="top"/>
          </w:tcPr>
          <w:p>
            <w:pPr>
              <w:spacing w:after="0"/>
            </w:pPr>
            <w:r/>
            <w:r>
              <w:rPr>
                <w:rFonts w:ascii="Times New Roman" w:hAnsi="Times New Roman" w:eastAsia="Times New Roman"/>
                <w:b w:val="0"/>
                <w:sz w:val="16"/>
              </w:rPr>
              <w:t>Formal and perceived boundary of who may authorise a protective action.</w:t>
            </w:r>
          </w:p>
        </w:tc>
        <w:tc>
          <w:tcPr>
            <w:tcW w:type="dxa" w:w="3360"/>
            <w:vAlign w:val="top"/>
          </w:tcPr>
          <w:p>
            <w:pPr>
              <w:spacing w:after="0"/>
            </w:pPr>
            <w:r/>
            <w:r>
              <w:rPr>
                <w:rFonts w:ascii="Times New Roman" w:hAnsi="Times New Roman" w:eastAsia="Times New Roman"/>
                <w:b w:val="0"/>
                <w:sz w:val="16"/>
              </w:rPr>
              <w:t>Principal discretion; DoE/DDE approval; teacher discretion; escalation route; accountability concern.</w:t>
            </w:r>
          </w:p>
        </w:tc>
      </w:tr>
      <w:tr>
        <w:tc>
          <w:tcPr>
            <w:tcW w:type="dxa" w:w="3360"/>
            <w:vAlign w:val="top"/>
          </w:tcPr>
          <w:p>
            <w:pPr>
              <w:spacing w:after="0"/>
            </w:pPr>
            <w:r/>
            <w:r>
              <w:rPr>
                <w:rFonts w:ascii="Times New Roman" w:hAnsi="Times New Roman" w:eastAsia="Times New Roman"/>
                <w:b w:val="0"/>
                <w:sz w:val="16"/>
              </w:rPr>
              <w:t>Operational feasibility</w:t>
            </w:r>
          </w:p>
        </w:tc>
        <w:tc>
          <w:tcPr>
            <w:tcW w:type="dxa" w:w="3360"/>
            <w:vAlign w:val="top"/>
          </w:tcPr>
          <w:p>
            <w:pPr>
              <w:spacing w:after="0"/>
            </w:pPr>
            <w:r/>
            <w:r>
              <w:rPr>
                <w:rFonts w:ascii="Times New Roman" w:hAnsi="Times New Roman" w:eastAsia="Times New Roman"/>
                <w:b w:val="0"/>
                <w:sz w:val="16"/>
              </w:rPr>
              <w:t>Whether an authorised action can be executed under real school conditions.</w:t>
            </w:r>
          </w:p>
        </w:tc>
        <w:tc>
          <w:tcPr>
            <w:tcW w:type="dxa" w:w="3360"/>
            <w:vAlign w:val="top"/>
          </w:tcPr>
          <w:p>
            <w:pPr>
              <w:spacing w:after="0"/>
            </w:pPr>
            <w:r/>
            <w:r>
              <w:rPr>
                <w:rFonts w:ascii="Times New Roman" w:hAnsi="Times New Roman" w:eastAsia="Times New Roman"/>
                <w:b w:val="0"/>
                <w:sz w:val="16"/>
              </w:rPr>
              <w:t>Water/power; staffing; building exposure; timetable; exam; transport; parent availability; double shift.</w:t>
            </w:r>
          </w:p>
        </w:tc>
      </w:tr>
      <w:tr>
        <w:tc>
          <w:tcPr>
            <w:tcW w:type="dxa" w:w="3360"/>
            <w:vAlign w:val="top"/>
          </w:tcPr>
          <w:p>
            <w:pPr>
              <w:spacing w:after="0"/>
            </w:pPr>
            <w:r/>
            <w:r>
              <w:rPr>
                <w:rFonts w:ascii="Times New Roman" w:hAnsi="Times New Roman" w:eastAsia="Times New Roman"/>
                <w:b w:val="0"/>
                <w:sz w:val="16"/>
              </w:rPr>
              <w:t>Protective continuity</w:t>
            </w:r>
          </w:p>
        </w:tc>
        <w:tc>
          <w:tcPr>
            <w:tcW w:type="dxa" w:w="3360"/>
            <w:vAlign w:val="top"/>
          </w:tcPr>
          <w:p>
            <w:pPr>
              <w:spacing w:after="0"/>
            </w:pPr>
            <w:r/>
            <w:r>
              <w:rPr>
                <w:rFonts w:ascii="Times New Roman" w:hAnsi="Times New Roman" w:eastAsia="Times New Roman"/>
                <w:b w:val="0"/>
                <w:sz w:val="16"/>
              </w:rPr>
              <w:t>Whether the action protects the child across the transition between school, travel, home and care arrangements.</w:t>
            </w:r>
          </w:p>
        </w:tc>
        <w:tc>
          <w:tcPr>
            <w:tcW w:type="dxa" w:w="3360"/>
            <w:vAlign w:val="top"/>
          </w:tcPr>
          <w:p>
            <w:pPr>
              <w:spacing w:after="0"/>
            </w:pPr>
            <w:r/>
            <w:r>
              <w:rPr>
                <w:rFonts w:ascii="Times New Roman" w:hAnsi="Times New Roman" w:eastAsia="Times New Roman"/>
                <w:b w:val="0"/>
                <w:sz w:val="16"/>
              </w:rPr>
              <w:t>Exposure reduction; supervision; age dependency; controlled dispersal; delayed guardian; safe holding; equity.</w:t>
            </w:r>
          </w:p>
        </w:tc>
      </w:tr>
      <w:tr>
        <w:tc>
          <w:tcPr>
            <w:tcW w:type="dxa" w:w="3360"/>
            <w:vAlign w:val="top"/>
          </w:tcPr>
          <w:p>
            <w:pPr>
              <w:spacing w:after="0"/>
            </w:pPr>
            <w:r/>
            <w:r>
              <w:rPr>
                <w:rFonts w:ascii="Times New Roman" w:hAnsi="Times New Roman" w:eastAsia="Times New Roman"/>
                <w:b w:val="0"/>
                <w:sz w:val="16"/>
              </w:rPr>
              <w:t>Institutional learning</w:t>
            </w:r>
          </w:p>
        </w:tc>
        <w:tc>
          <w:tcPr>
            <w:tcW w:type="dxa" w:w="3360"/>
            <w:vAlign w:val="top"/>
          </w:tcPr>
          <w:p>
            <w:pPr>
              <w:spacing w:after="0"/>
            </w:pPr>
            <w:r/>
            <w:r>
              <w:rPr>
                <w:rFonts w:ascii="Times New Roman" w:hAnsi="Times New Roman" w:eastAsia="Times New Roman"/>
                <w:b w:val="0"/>
                <w:sz w:val="16"/>
              </w:rPr>
              <w:t>Whether experience changes future preparedness or policy.</w:t>
            </w:r>
          </w:p>
        </w:tc>
        <w:tc>
          <w:tcPr>
            <w:tcW w:type="dxa" w:w="3360"/>
            <w:vAlign w:val="top"/>
          </w:tcPr>
          <w:p>
            <w:pPr>
              <w:spacing w:after="0"/>
            </w:pPr>
            <w:r/>
            <w:r>
              <w:rPr>
                <w:rFonts w:ascii="Times New Roman" w:hAnsi="Times New Roman" w:eastAsia="Times New Roman"/>
                <w:b w:val="0"/>
                <w:sz w:val="16"/>
              </w:rPr>
              <w:t>Logs, incident review, feedback, revised procedure, repairs, training changes.</w:t>
            </w:r>
          </w:p>
        </w:tc>
      </w:tr>
    </w:tbl>
    <w:p>
      <w:pPr>
        <w:pStyle w:val="Heading2"/>
      </w:pPr>
      <w:r>
        <w:t>4.4 Context is not a separate “framework”; it conditions enactment</w:t>
      </w:r>
    </w:p>
    <w:p>
      <w:pPr>
        <w:spacing w:after="100" w:line="283" w:lineRule="auto"/>
      </w:pPr>
      <w:r>
        <w:rPr>
          <w:rFonts w:ascii="Times New Roman" w:hAnsi="Times New Roman" w:eastAsia="Times New Roman"/>
          <w:i w:val="0"/>
          <w:sz w:val="22"/>
        </w:rPr>
        <w:t>Following Braun et al. (2011), the study will examine situated context (student age, enrolment, neighbourhood and shift), material context (building, water, shade, power and transport), professional context (staff roles, experience and internal relationships) and external context (DoE/DDE/DDMA instructions, parental constraints and health services). These dimensions are not scored. They are used to explain why the same formal instruction may trigger different mechanisms across schools.</w:t>
      </w:r>
    </w:p>
    <w:p>
      <w:pPr>
        <w:pStyle w:val="Heading2"/>
      </w:pPr>
      <w:r>
        <w:t>4.5 Where the interviews sit in the framework</w:t>
      </w:r>
    </w:p>
    <w:p>
      <w:pPr>
        <w:spacing w:after="100" w:line="283" w:lineRule="auto"/>
      </w:pPr>
      <w:r>
        <w:rPr>
          <w:rFonts w:ascii="Times New Roman" w:hAnsi="Times New Roman" w:eastAsia="Times New Roman"/>
          <w:i w:val="0"/>
          <w:sz w:val="22"/>
        </w:rPr>
        <w:t>Principal and teacher interviews are part of framework reconstruction and testing, not a causal stage of heat response. The study begins with SHGTF Version 0 derived from policy and literature. Matched interviews then reconstruct the “lived” pathway: what each actor believes the trigger means, what action should follow, who may decide, what would block the action and what happens to children. Those accounts are compared with school evidence and official interpretation. The resulting convergence, divergence and negative cases revise SHGTF Version 0 into an empirically grounded Version 1.</w:t>
      </w:r>
    </w:p>
    <w:p>
      <w:pPr>
        <w:spacing w:after="100" w:line="283" w:lineRule="auto"/>
      </w:pPr>
      <w:r>
        <w:rPr>
          <w:rFonts w:ascii="Times New Roman" w:hAnsi="Times New Roman" w:eastAsia="Times New Roman"/>
          <w:i w:val="0"/>
          <w:sz w:val="22"/>
        </w:rPr>
        <w:t>This approach is consistent with realist-informed interviewing, in which participants do more than describe experience: they are used to confirm, refute and refine an initial explanatory theory (Manzano, 2016). The study does not claim to conduct a full realist evaluation; it borrows the theory-refining logic and Context–Mechanism–Outcome heuristic.</w:t>
      </w:r>
    </w:p>
    <w:p>
      <w:pPr>
        <w:pStyle w:val="Heading2"/>
      </w:pPr>
      <w:r>
        <w:t>4.6 A stronger causal proposition: institutional translation as a configurational process</w:t>
      </w:r>
    </w:p>
    <w:p>
      <w:pPr>
        <w:spacing w:after="100" w:line="283" w:lineRule="auto"/>
      </w:pPr>
      <w:r>
        <w:rPr>
          <w:rFonts w:ascii="Times New Roman" w:hAnsi="Times New Roman" w:eastAsia="Times New Roman"/>
          <w:sz w:val="22"/>
        </w:rPr>
        <w:t>SHGTF does not assume a simple linear chain in which each stage must fail one after another. The same outcome can be produced by different configurations. For example, delayed action may result from weak warning transmission in one school, unclear jurisdiction in another, or a deliberate decision to avoid unsafe dispersal in a third. Conversely, a school may achieve a protective outcome through formal procedure or through adaptive improvisation. The analytical task is therefore configurational: identify which combination of context and mechanisms is sufficient to explain the observed outcome in each case, then compare recurring configurations across schools.</w:t>
      </w:r>
    </w:p>
    <w:p>
      <w:pPr>
        <w:spacing w:after="100" w:line="283" w:lineRule="auto"/>
      </w:pPr>
      <w:r>
        <w:rPr>
          <w:rFonts w:ascii="Times New Roman" w:hAnsi="Times New Roman" w:eastAsia="Times New Roman"/>
          <w:sz w:val="22"/>
        </w:rPr>
        <w:t>This also changes the meaning of “institutionalisation.” A highly institutionalised system is not defined solely by more rules. It should combine a stable protective minimum, anticipatory readiness, a shared understanding of responsibilities, bounded local discretion, feasible resources, protection across school–home transitions and a learning mechanism that can revise the system. The fieldwork may show that some of these functions can be achieved informally; if so, the framework will distinguish useful adaptive practice from fragile person-dependent improvisation.</w:t>
      </w:r>
    </w:p>
    <w:p>
      <w:pPr>
        <w:pStyle w:val="Heading1"/>
      </w:pPr>
      <w:r>
        <w:t>5. RESEARCH QUESTIONS AND PROPOSITIONS</w:t>
      </w:r>
    </w:p>
    <w:p>
      <w:pPr>
        <w:pStyle w:val="Heading2"/>
      </w:pPr>
      <w:r>
        <w:t>5.1 Main research question</w:t>
      </w:r>
    </w:p>
    <w:p>
      <w:pPr>
        <w:spacing w:after="100" w:line="283" w:lineRule="auto"/>
      </w:pPr>
      <w:r>
        <w:rPr>
          <w:rFonts w:ascii="Times New Roman" w:hAnsi="Times New Roman" w:eastAsia="Times New Roman"/>
          <w:i w:val="0"/>
          <w:sz w:val="22"/>
        </w:rPr>
        <w:t>How and under what institutional and school-level conditions do authoritative heat-risk warnings and education-sector directives become—or fail to become—timely, authorised, feasible and child-protective action in government schools in West Delhi?</w:t>
      </w:r>
    </w:p>
    <w:p>
      <w:pPr>
        <w:pStyle w:val="Heading2"/>
      </w:pPr>
      <w:r>
        <w:t>5.2 Sub-questions</w:t>
      </w:r>
    </w:p>
    <w:p>
      <w:pPr>
        <w:pStyle w:val="ListBullet"/>
        <w:spacing w:after="60" w:line="269" w:lineRule="auto"/>
        <w:ind w:left="432"/>
      </w:pPr>
      <w:r>
        <w:rPr>
          <w:rFonts w:ascii="Times New Roman" w:hAnsi="Times New Roman" w:eastAsia="Times New Roman"/>
          <w:sz w:val="22"/>
        </w:rPr>
        <w:t>RQ1 — Formal specification and preparedness: What heat-related provisions, responsibilities and pre-season arrangements exist before a live alert, and how clearly do they connect triggers, actors, authority, resources, exception handling and review?</w:t>
      </w:r>
    </w:p>
    <w:p>
      <w:pPr>
        <w:pStyle w:val="ListBullet"/>
        <w:spacing w:after="60" w:line="269" w:lineRule="auto"/>
        <w:ind w:left="432"/>
      </w:pPr>
      <w:r>
        <w:rPr>
          <w:rFonts w:ascii="Times New Roman" w:hAnsi="Times New Roman" w:eastAsia="Times New Roman"/>
          <w:sz w:val="22"/>
        </w:rPr>
        <w:t>RQ2 — Interpretation, escalation and jurisdiction: How do principals and teachers receive and interpret authoritative heat information, including a worsening forecast trajectory, and how do formal and perceived authority boundaries shape decisions?</w:t>
      </w:r>
    </w:p>
    <w:p>
      <w:pPr>
        <w:pStyle w:val="ListBullet"/>
        <w:spacing w:after="60" w:line="269" w:lineRule="auto"/>
        <w:ind w:left="432"/>
      </w:pPr>
      <w:r>
        <w:rPr>
          <w:rFonts w:ascii="Times New Roman" w:hAnsi="Times New Roman" w:eastAsia="Times New Roman"/>
          <w:sz w:val="22"/>
        </w:rPr>
        <w:t>RQ3 — Context and feasibility: How do situated, material, professional and external school conditions enable, modify or block an otherwise indicated protective action?</w:t>
      </w:r>
    </w:p>
    <w:p>
      <w:pPr>
        <w:pStyle w:val="ListBullet"/>
        <w:spacing w:after="60" w:line="269" w:lineRule="auto"/>
        <w:ind w:left="432"/>
      </w:pPr>
      <w:r>
        <w:rPr>
          <w:rFonts w:ascii="Times New Roman" w:hAnsi="Times New Roman" w:eastAsia="Times New Roman"/>
          <w:sz w:val="22"/>
        </w:rPr>
        <w:t>RQ4 — Protective continuity and learning: When schools act, to what extent do their responses protect children without transferring unmanaged heat or custodial risk, and how are experiences fed back into future preparedness?</w:t>
      </w:r>
    </w:p>
    <w:p>
      <w:pPr>
        <w:pStyle w:val="Heading2"/>
      </w:pPr>
      <w:r>
        <w:t>5.3 Provisional propositions</w:t>
      </w:r>
    </w:p>
    <w:p>
      <w:pPr>
        <w:pStyle w:val="ListBullet"/>
        <w:spacing w:after="60" w:line="269" w:lineRule="auto"/>
        <w:ind w:left="432"/>
      </w:pPr>
      <w:r>
        <w:rPr>
          <w:rFonts w:ascii="Times New Roman" w:hAnsi="Times New Roman" w:eastAsia="Times New Roman"/>
          <w:sz w:val="22"/>
        </w:rPr>
        <w:t>P1: Differences in school response to comparable heat-risk information will be explained more accurately by variation in institutional translation and context than by warning receipt alone.</w:t>
      </w:r>
    </w:p>
    <w:p>
      <w:pPr>
        <w:pStyle w:val="ListBullet"/>
        <w:spacing w:after="60" w:line="269" w:lineRule="auto"/>
        <w:ind w:left="432"/>
      </w:pPr>
      <w:r>
        <w:rPr>
          <w:rFonts w:ascii="Times New Roman" w:hAnsi="Times New Roman" w:eastAsia="Times New Roman"/>
          <w:sz w:val="22"/>
        </w:rPr>
        <w:t>P2: Greater alignment among formal policy, principal interpretation, teacher interpretation and evidenced practice will be associated with more consistent school action, but coherence alone will not overcome inadequate jurisdiction or resources.</w:t>
      </w:r>
    </w:p>
    <w:p>
      <w:pPr>
        <w:pStyle w:val="ListBullet"/>
        <w:spacing w:after="60" w:line="269" w:lineRule="auto"/>
        <w:ind w:left="432"/>
      </w:pPr>
      <w:r>
        <w:rPr>
          <w:rFonts w:ascii="Times New Roman" w:hAnsi="Times New Roman" w:eastAsia="Times New Roman"/>
          <w:sz w:val="22"/>
        </w:rPr>
        <w:t>P3: Where principals perceive responsibility without usable decision jurisdiction, schools will be more likely to delay, escalate upward or rely on familiar routines rather than take anticipatory action.</w:t>
      </w:r>
    </w:p>
    <w:p>
      <w:pPr>
        <w:pStyle w:val="ListBullet"/>
        <w:spacing w:after="60" w:line="269" w:lineRule="auto"/>
        <w:ind w:left="432"/>
      </w:pPr>
      <w:r>
        <w:rPr>
          <w:rFonts w:ascii="Times New Roman" w:hAnsi="Times New Roman" w:eastAsia="Times New Roman"/>
          <w:sz w:val="22"/>
        </w:rPr>
        <w:t>P4: Some administratively compliant actions will fail the protective-continuity test because they shift exposure or care burdens outside the school.</w:t>
      </w:r>
    </w:p>
    <w:p>
      <w:pPr>
        <w:pStyle w:val="ListBullet"/>
        <w:spacing w:after="60" w:line="269" w:lineRule="auto"/>
        <w:ind w:left="432"/>
      </w:pPr>
      <w:r>
        <w:rPr>
          <w:rFonts w:ascii="Times New Roman" w:hAnsi="Times New Roman" w:eastAsia="Times New Roman"/>
          <w:sz w:val="22"/>
        </w:rPr>
        <w:t>P5: Schools with stronger pre-season readiness and learning routines will act earlier in an escalating heat trajectory than schools that organise heat response mainly after a live warning.</w:t>
      </w:r>
    </w:p>
    <w:p>
      <w:pPr>
        <w:pStyle w:val="ListBullet"/>
        <w:spacing w:after="60"/>
        <w:ind w:left="432"/>
      </w:pPr>
      <w:r>
        <w:rPr>
          <w:rFonts w:ascii="Times New Roman" w:hAnsi="Times New Roman" w:eastAsia="Times New Roman"/>
          <w:sz w:val="22"/>
        </w:rPr>
        <w:t>P6: The relationship between discretion and protection will be non-linear: too little discretion may delay local action, while unbounded discretion may produce unequal school-level protection; more actionable systems will combine a common minimum with bounded local discretion.</w:t>
      </w:r>
    </w:p>
    <w:p>
      <w:pPr>
        <w:pStyle w:val="ListBullet"/>
        <w:spacing w:after="60"/>
        <w:ind w:left="432"/>
      </w:pPr>
      <w:r>
        <w:rPr>
          <w:rFonts w:ascii="Times New Roman" w:hAnsi="Times New Roman" w:eastAsia="Times New Roman"/>
          <w:sz w:val="22"/>
        </w:rPr>
        <w:t>P7: Institutional coherence will improve reliability only when the shared action is substantively adequate; coherence around an inadequate or infeasible rule will not produce institutional heat actionability.</w:t>
      </w:r>
    </w:p>
    <w:p>
      <w:pPr>
        <w:pStyle w:val="Heading1"/>
      </w:pPr>
      <w:r>
        <w:t>6. METHODOLOGY</w:t>
      </w:r>
    </w:p>
    <w:p>
      <w:pPr>
        <w:pStyle w:val="Heading2"/>
      </w:pPr>
      <w:r>
        <w:t>6.1 Research design</w:t>
      </w:r>
    </w:p>
    <w:p>
      <w:pPr>
        <w:spacing w:after="100" w:line="283" w:lineRule="auto"/>
      </w:pPr>
      <w:r>
        <w:rPr>
          <w:rFonts w:ascii="Times New Roman" w:hAnsi="Times New Roman" w:eastAsia="Times New Roman"/>
          <w:i w:val="0"/>
          <w:sz w:val="22"/>
        </w:rPr>
        <w:t>The study adopts a qualitative, explanatory multi-school case-study design. The purpose is mechanism explanation rather than prevalence estimation. Each school is treated as a bounded institutional case exposed to the same broad metropolitan warning and policy environment but differing in context and capacity. This design permits comparison of how similar formal inputs are enacted under different conditions (Yin, 2018).</w:t>
      </w:r>
    </w:p>
    <w:p>
      <w:pPr>
        <w:spacing w:after="100" w:line="283" w:lineRule="auto"/>
      </w:pPr>
      <w:r>
        <w:rPr>
          <w:rFonts w:ascii="Times New Roman" w:hAnsi="Times New Roman" w:eastAsia="Times New Roman"/>
          <w:i w:val="0"/>
          <w:sz w:val="22"/>
        </w:rPr>
        <w:t>The research is theory-refining rather than theory-confirming. SHGTF Version 0 provides an initial coding and interview structure, but inductive codes and negative cases are explicitly retained. The framework will be revised if field evidence reveals mechanisms not anticipated by the literature, such as informal peer networks, parent pressure, ad hoc zonal messaging or school-specific leadership routines.</w:t>
      </w:r>
    </w:p>
    <w:p>
      <w:pPr>
        <w:pStyle w:val="Heading2"/>
      </w:pPr>
      <w:r>
        <w:t>6.2 Sampling and case selection</w:t>
      </w:r>
    </w:p>
    <w:p>
      <w:pPr>
        <w:spacing w:after="100" w:line="283" w:lineRule="auto"/>
      </w:pPr>
      <w:r>
        <w:rPr>
          <w:rFonts w:ascii="Times New Roman" w:hAnsi="Times New Roman" w:eastAsia="Times New Roman"/>
          <w:i w:val="0"/>
          <w:sz w:val="22"/>
        </w:rPr>
        <w:t>The thesis phase will purposively select approximately 8–10 DoE-managed government schools from West-A and West-B using maximum variation. The aim is not to create statistically representative strata but to ensure theoretically relevant variation in the contexts most likely to affect heat enactment. Information power, rather than a mechanical saturation number, will guide the adequacy of the final sample (Malterud et al., 2016).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D9EAF7"/>
          </w:tcPr>
          <w:p>
            <w:pPr>
              <w:spacing w:after="0"/>
            </w:pPr>
            <w:r/>
            <w:r>
              <w:rPr>
                <w:rFonts w:ascii="Times New Roman" w:hAnsi="Times New Roman" w:eastAsia="Times New Roman"/>
                <w:b/>
                <w:sz w:val="17"/>
              </w:rPr>
              <w:t>Variation dimension</w:t>
            </w:r>
          </w:p>
        </w:tc>
        <w:tc>
          <w:tcPr>
            <w:tcW w:type="dxa" w:w="5040"/>
            <w:vAlign w:val="top"/>
            <w:shd w:fill="D9EAF7"/>
          </w:tcPr>
          <w:p>
            <w:pPr>
              <w:spacing w:after="0"/>
            </w:pPr>
            <w:r/>
            <w:r>
              <w:rPr>
                <w:rFonts w:ascii="Times New Roman" w:hAnsi="Times New Roman" w:eastAsia="Times New Roman"/>
                <w:b/>
                <w:sz w:val="17"/>
              </w:rPr>
              <w:t>Reason for inclusion</w:t>
            </w:r>
          </w:p>
        </w:tc>
      </w:tr>
      <w:tr>
        <w:tc>
          <w:tcPr>
            <w:tcW w:type="dxa" w:w="5040"/>
            <w:vAlign w:val="top"/>
          </w:tcPr>
          <w:p>
            <w:pPr>
              <w:spacing w:after="0"/>
            </w:pPr>
            <w:r/>
            <w:r>
              <w:rPr>
                <w:rFonts w:ascii="Times New Roman" w:hAnsi="Times New Roman" w:eastAsia="Times New Roman"/>
                <w:b w:val="0"/>
                <w:sz w:val="17"/>
              </w:rPr>
              <w:t>Primary-section vs secondary/senior secondary</w:t>
            </w:r>
          </w:p>
        </w:tc>
        <w:tc>
          <w:tcPr>
            <w:tcW w:type="dxa" w:w="5040"/>
            <w:vAlign w:val="top"/>
          </w:tcPr>
          <w:p>
            <w:pPr>
              <w:spacing w:after="0"/>
            </w:pPr>
            <w:r/>
            <w:r>
              <w:rPr>
                <w:rFonts w:ascii="Times New Roman" w:hAnsi="Times New Roman" w:eastAsia="Times New Roman"/>
                <w:b w:val="0"/>
                <w:sz w:val="17"/>
              </w:rPr>
              <w:t>Child dependency, hydration prompting, guardian pickup and examination routines differ.</w:t>
            </w:r>
          </w:p>
        </w:tc>
      </w:tr>
      <w:tr>
        <w:tc>
          <w:tcPr>
            <w:tcW w:type="dxa" w:w="5040"/>
            <w:vAlign w:val="top"/>
          </w:tcPr>
          <w:p>
            <w:pPr>
              <w:spacing w:after="0"/>
            </w:pPr>
            <w:r/>
            <w:r>
              <w:rPr>
                <w:rFonts w:ascii="Times New Roman" w:hAnsi="Times New Roman" w:eastAsia="Times New Roman"/>
                <w:b w:val="0"/>
                <w:sz w:val="17"/>
              </w:rPr>
              <w:t>Single vs double shift</w:t>
            </w:r>
          </w:p>
        </w:tc>
        <w:tc>
          <w:tcPr>
            <w:tcW w:type="dxa" w:w="5040"/>
            <w:vAlign w:val="top"/>
          </w:tcPr>
          <w:p>
            <w:pPr>
              <w:spacing w:after="0"/>
            </w:pPr>
            <w:r/>
            <w:r>
              <w:rPr>
                <w:rFonts w:ascii="Times New Roman" w:hAnsi="Times New Roman" w:eastAsia="Times New Roman"/>
                <w:b w:val="0"/>
                <w:sz w:val="17"/>
              </w:rPr>
              <w:t>Exposure timing and operational flexibility differ.</w:t>
            </w:r>
          </w:p>
        </w:tc>
      </w:tr>
      <w:tr>
        <w:tc>
          <w:tcPr>
            <w:tcW w:type="dxa" w:w="5040"/>
            <w:vAlign w:val="top"/>
          </w:tcPr>
          <w:p>
            <w:pPr>
              <w:spacing w:after="0"/>
            </w:pPr>
            <w:r/>
            <w:r>
              <w:rPr>
                <w:rFonts w:ascii="Times New Roman" w:hAnsi="Times New Roman" w:eastAsia="Times New Roman"/>
                <w:b w:val="0"/>
                <w:sz w:val="17"/>
              </w:rPr>
              <w:t>Higher vs moderate local heat exposure</w:t>
            </w:r>
          </w:p>
        </w:tc>
        <w:tc>
          <w:tcPr>
            <w:tcW w:type="dxa" w:w="5040"/>
            <w:vAlign w:val="top"/>
          </w:tcPr>
          <w:p>
            <w:pPr>
              <w:spacing w:after="0"/>
            </w:pPr>
            <w:r/>
            <w:r>
              <w:rPr>
                <w:rFonts w:ascii="Times New Roman" w:hAnsi="Times New Roman" w:eastAsia="Times New Roman"/>
                <w:b w:val="0"/>
                <w:sz w:val="17"/>
              </w:rPr>
              <w:t>Tests whether the same policy is enacted differently under distinct thermal contexts.</w:t>
            </w:r>
          </w:p>
        </w:tc>
      </w:tr>
      <w:tr>
        <w:tc>
          <w:tcPr>
            <w:tcW w:type="dxa" w:w="5040"/>
            <w:vAlign w:val="top"/>
          </w:tcPr>
          <w:p>
            <w:pPr>
              <w:spacing w:after="0"/>
            </w:pPr>
            <w:r/>
            <w:r>
              <w:rPr>
                <w:rFonts w:ascii="Times New Roman" w:hAnsi="Times New Roman" w:eastAsia="Times New Roman"/>
                <w:b w:val="0"/>
                <w:sz w:val="17"/>
              </w:rPr>
              <w:t>Planned vs more infrastructure-constrained neighbourhood context</w:t>
            </w:r>
          </w:p>
        </w:tc>
        <w:tc>
          <w:tcPr>
            <w:tcW w:type="dxa" w:w="5040"/>
            <w:vAlign w:val="top"/>
          </w:tcPr>
          <w:p>
            <w:pPr>
              <w:spacing w:after="0"/>
            </w:pPr>
            <w:r/>
            <w:r>
              <w:rPr>
                <w:rFonts w:ascii="Times New Roman" w:hAnsi="Times New Roman" w:eastAsia="Times New Roman"/>
                <w:b w:val="0"/>
                <w:sz w:val="17"/>
              </w:rPr>
              <w:t>Captures material and social differences without treating settlement category as a proxy for vulnerability.</w:t>
            </w:r>
          </w:p>
        </w:tc>
      </w:tr>
      <w:tr>
        <w:tc>
          <w:tcPr>
            <w:tcW w:type="dxa" w:w="5040"/>
            <w:vAlign w:val="top"/>
          </w:tcPr>
          <w:p>
            <w:pPr>
              <w:spacing w:after="0"/>
            </w:pPr>
            <w:r/>
            <w:r>
              <w:rPr>
                <w:rFonts w:ascii="Times New Roman" w:hAnsi="Times New Roman" w:eastAsia="Times New Roman"/>
                <w:b w:val="0"/>
                <w:sz w:val="17"/>
              </w:rPr>
              <w:t>Different water/shade/ventilation conditions</w:t>
            </w:r>
          </w:p>
        </w:tc>
        <w:tc>
          <w:tcPr>
            <w:tcW w:type="dxa" w:w="5040"/>
            <w:vAlign w:val="top"/>
          </w:tcPr>
          <w:p>
            <w:pPr>
              <w:spacing w:after="0"/>
            </w:pPr>
            <w:r/>
            <w:r>
              <w:rPr>
                <w:rFonts w:ascii="Times New Roman" w:hAnsi="Times New Roman" w:eastAsia="Times New Roman"/>
                <w:b w:val="0"/>
                <w:sz w:val="17"/>
              </w:rPr>
              <w:t>Tests feasibility mechanisms.</w:t>
            </w:r>
          </w:p>
        </w:tc>
      </w:tr>
      <w:tr>
        <w:tc>
          <w:tcPr>
            <w:tcW w:type="dxa" w:w="5040"/>
            <w:vAlign w:val="top"/>
          </w:tcPr>
          <w:p>
            <w:pPr>
              <w:spacing w:after="0"/>
            </w:pPr>
            <w:r/>
            <w:r>
              <w:rPr>
                <w:rFonts w:ascii="Times New Roman" w:hAnsi="Times New Roman" w:eastAsia="Times New Roman"/>
                <w:b w:val="0"/>
                <w:sz w:val="17"/>
              </w:rPr>
              <w:t>Positive-deviant / apparently well-prepared case where available</w:t>
            </w:r>
          </w:p>
        </w:tc>
        <w:tc>
          <w:tcPr>
            <w:tcW w:type="dxa" w:w="5040"/>
            <w:vAlign w:val="top"/>
          </w:tcPr>
          <w:p>
            <w:pPr>
              <w:spacing w:after="0"/>
            </w:pPr>
            <w:r/>
            <w:r>
              <w:rPr>
                <w:rFonts w:ascii="Times New Roman" w:hAnsi="Times New Roman" w:eastAsia="Times New Roman"/>
                <w:b w:val="0"/>
                <w:sz w:val="17"/>
              </w:rPr>
              <w:t>Provides a deliberate disconfirming comparison.</w:t>
            </w:r>
          </w:p>
        </w:tc>
      </w:tr>
    </w:tbl>
    <w:p>
      <w:pPr>
        <w:pStyle w:val="Heading2"/>
      </w:pPr>
      <w:r>
        <w:t>6.3 Participants</w:t>
      </w:r>
    </w:p>
    <w:p>
      <w:pPr>
        <w:spacing w:after="100" w:line="283" w:lineRule="auto"/>
      </w:pPr>
      <w:r>
        <w:rPr>
          <w:rFonts w:ascii="Times New Roman" w:hAnsi="Times New Roman" w:eastAsia="Times New Roman"/>
          <w:i w:val="0"/>
          <w:sz w:val="22"/>
        </w:rPr>
        <w:t>At each school, the principal/head of school and one teacher with relevant operational knowledge will be interviewed separately. The teacher may be a class teacher, science teacher, school-safety focal person or other staff member able to describe everyday heat practice. Separate interviewing is essential because principal–teacher divergence is itself an institutional finding and should not be suppressed by joint interviews.</w:t>
      </w:r>
    </w:p>
    <w:p>
      <w:pPr>
        <w:spacing w:after="100" w:line="283" w:lineRule="auto"/>
      </w:pPr>
      <w:r>
        <w:rPr>
          <w:rFonts w:ascii="Times New Roman" w:hAnsi="Times New Roman" w:eastAsia="Times New Roman"/>
          <w:i w:val="0"/>
          <w:sz w:val="22"/>
        </w:rPr>
        <w:t>Approximately 3–5 key informants from the zonal/DDE/DoE/DDMA or related administrative chain will be interviewed where access permits. Their purpose is not to “validate” school answers but to clarify formal jurisdiction, intended transmission channels, escalation arrangements and reporting expectations.</w:t>
      </w:r>
    </w:p>
    <w:p>
      <w:pPr>
        <w:pStyle w:val="Heading2"/>
      </w:pPr>
      <w:r>
        <w:t>6.4 Data source 1 — policy and document analysis</w:t>
      </w:r>
    </w:p>
    <w:p>
      <w:pPr>
        <w:spacing w:after="100" w:line="283" w:lineRule="auto"/>
      </w:pPr>
      <w:r>
        <w:rPr>
          <w:rFonts w:ascii="Times New Roman" w:hAnsi="Times New Roman" w:eastAsia="Times New Roman"/>
          <w:i w:val="0"/>
          <w:sz w:val="22"/>
        </w:rPr>
        <w:t>The document corpus will include the Delhi HAP, relevant NDMA and Ministry of Education guidance, current IMD heat-warning products, relevant DoE circulars, and school-held instructions, plans, logs or communication records. Each provision will be coded using an actionability template: (1) risk trigger, (2) target actor, (3) required/recommended action, (4) decision authority, (5) assumed resource, (6) exception/contingency, and (7) reporting/review. This prevents the analysis from equating a long list of precautions with a complete operational procedure.</w:t>
      </w:r>
    </w:p>
    <w:p>
      <w:pPr>
        <w:pStyle w:val="Heading2"/>
      </w:pPr>
      <w:r>
        <w:t>6.5 Data source 2 — matched semi-structured interviews with common vignettes</w:t>
      </w:r>
    </w:p>
    <w:p>
      <w:pPr>
        <w:spacing w:after="100" w:line="283" w:lineRule="auto"/>
      </w:pPr>
      <w:r>
        <w:rPr>
          <w:rFonts w:ascii="Times New Roman" w:hAnsi="Times New Roman" w:eastAsia="Times New Roman"/>
          <w:i w:val="0"/>
          <w:sz w:val="22"/>
        </w:rPr>
        <w:t>The core empirical innovation is the use of matched vignettes. Principals and teachers will receive the same short scenarios separately. This enables comparison of decision rules rather than only general attitudes. Scenario interviewing is especially appropriate because rare or severe conditions may not occur during the researcher’s visit, while a common scenario permits cross-case comparison. The design is also informed by Sakurai et al. (2026), who show the value of scenario-based decision work for exposing familiar-practice constraints in school disaster planning.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D9EAF7"/>
          </w:tcPr>
          <w:p>
            <w:pPr>
              <w:spacing w:after="0"/>
            </w:pPr>
            <w:r/>
            <w:r>
              <w:rPr>
                <w:rFonts w:ascii="Times New Roman" w:hAnsi="Times New Roman" w:eastAsia="Times New Roman"/>
                <w:b/>
                <w:sz w:val="16"/>
              </w:rPr>
              <w:t>Vignette</w:t>
            </w:r>
          </w:p>
        </w:tc>
        <w:tc>
          <w:tcPr>
            <w:tcW w:type="dxa" w:w="5040"/>
            <w:vAlign w:val="top"/>
            <w:shd w:fill="D9EAF7"/>
          </w:tcPr>
          <w:p>
            <w:pPr>
              <w:spacing w:after="0"/>
            </w:pPr>
            <w:r/>
            <w:r>
              <w:rPr>
                <w:rFonts w:ascii="Times New Roman" w:hAnsi="Times New Roman" w:eastAsia="Times New Roman"/>
                <w:b/>
                <w:sz w:val="16"/>
              </w:rPr>
              <w:t>Core scenario</w:t>
            </w:r>
          </w:p>
        </w:tc>
      </w:tr>
      <w:tr>
        <w:tc>
          <w:tcPr>
            <w:tcW w:type="dxa" w:w="5040"/>
            <w:vAlign w:val="top"/>
          </w:tcPr>
          <w:p>
            <w:pPr>
              <w:spacing w:after="0"/>
            </w:pPr>
            <w:r/>
            <w:r>
              <w:rPr>
                <w:rFonts w:ascii="Times New Roman" w:hAnsi="Times New Roman" w:eastAsia="Times New Roman"/>
                <w:b w:val="0"/>
                <w:sz w:val="16"/>
              </w:rPr>
              <w:t>V1 — Before the alert</w:t>
            </w:r>
          </w:p>
        </w:tc>
        <w:tc>
          <w:tcPr>
            <w:tcW w:type="dxa" w:w="5040"/>
            <w:vAlign w:val="top"/>
          </w:tcPr>
          <w:p>
            <w:pPr>
              <w:spacing w:after="0"/>
            </w:pPr>
            <w:r/>
            <w:r>
              <w:rPr>
                <w:rFonts w:ascii="Times New Roman" w:hAnsi="Times New Roman" w:eastAsia="Times New Roman"/>
                <w:b w:val="0"/>
                <w:sz w:val="16"/>
              </w:rPr>
              <w:t>It is mid-April. No live heat warning is active, but the seasonal outlook indicates a hotter-than-normal period. What does the school do before any alert is issued?</w:t>
            </w:r>
          </w:p>
        </w:tc>
      </w:tr>
      <w:tr>
        <w:tc>
          <w:tcPr>
            <w:tcW w:type="dxa" w:w="5040"/>
            <w:vAlign w:val="top"/>
          </w:tcPr>
          <w:p>
            <w:pPr>
              <w:spacing w:after="0"/>
            </w:pPr>
            <w:r/>
            <w:r>
              <w:rPr>
                <w:rFonts w:ascii="Times New Roman" w:hAnsi="Times New Roman" w:eastAsia="Times New Roman"/>
                <w:b w:val="0"/>
                <w:sz w:val="16"/>
              </w:rPr>
              <w:t>V2 — Escalation</w:t>
            </w:r>
          </w:p>
        </w:tc>
        <w:tc>
          <w:tcPr>
            <w:tcW w:type="dxa" w:w="5040"/>
            <w:vAlign w:val="top"/>
          </w:tcPr>
          <w:p>
            <w:pPr>
              <w:spacing w:after="0"/>
            </w:pPr>
            <w:r/>
            <w:r>
              <w:rPr>
                <w:rFonts w:ascii="Times New Roman" w:hAnsi="Times New Roman" w:eastAsia="Times New Roman"/>
                <w:b w:val="0"/>
                <w:sz w:val="16"/>
              </w:rPr>
              <w:t>Today’s official heat information is at a lower warning level, but the official forecast indicates worsening conditions tomorrow. What, if anything, changes today?</w:t>
            </w:r>
          </w:p>
        </w:tc>
      </w:tr>
      <w:tr>
        <w:tc>
          <w:tcPr>
            <w:tcW w:type="dxa" w:w="5040"/>
            <w:vAlign w:val="top"/>
          </w:tcPr>
          <w:p>
            <w:pPr>
              <w:spacing w:after="0"/>
            </w:pPr>
            <w:r/>
            <w:r>
              <w:rPr>
                <w:rFonts w:ascii="Times New Roman" w:hAnsi="Times New Roman" w:eastAsia="Times New Roman"/>
                <w:b w:val="0"/>
                <w:sz w:val="16"/>
              </w:rPr>
              <w:t>V3 — Jurisdiction under local stress</w:t>
            </w:r>
          </w:p>
        </w:tc>
        <w:tc>
          <w:tcPr>
            <w:tcW w:type="dxa" w:w="5040"/>
            <w:vAlign w:val="top"/>
          </w:tcPr>
          <w:p>
            <w:pPr>
              <w:spacing w:after="0"/>
            </w:pPr>
            <w:r/>
            <w:r>
              <w:rPr>
                <w:rFonts w:ascii="Times New Roman" w:hAnsi="Times New Roman" w:eastAsia="Times New Roman"/>
                <w:b w:val="0"/>
                <w:sz w:val="16"/>
              </w:rPr>
              <w:t>The school is operating, several rooms are very hot and water supply is partly disrupted. No additional school-specific order has arrived. What can the principal and teachers change independently, and what requires higher approval?</w:t>
            </w:r>
          </w:p>
        </w:tc>
      </w:tr>
      <w:tr>
        <w:tc>
          <w:tcPr>
            <w:tcW w:type="dxa" w:w="5040"/>
            <w:vAlign w:val="top"/>
          </w:tcPr>
          <w:p>
            <w:pPr>
              <w:spacing w:after="0"/>
            </w:pPr>
            <w:r/>
            <w:r>
              <w:rPr>
                <w:rFonts w:ascii="Times New Roman" w:hAnsi="Times New Roman" w:eastAsia="Times New Roman"/>
                <w:b w:val="0"/>
                <w:sz w:val="16"/>
              </w:rPr>
              <w:t>V4 — Severe conditions while pupils are present</w:t>
            </w:r>
          </w:p>
        </w:tc>
        <w:tc>
          <w:tcPr>
            <w:tcW w:type="dxa" w:w="5040"/>
            <w:vAlign w:val="top"/>
          </w:tcPr>
          <w:p>
            <w:pPr>
              <w:spacing w:after="0"/>
            </w:pPr>
            <w:r/>
            <w:r>
              <w:rPr>
                <w:rFonts w:ascii="Times New Roman" w:hAnsi="Times New Roman" w:eastAsia="Times New Roman"/>
                <w:b w:val="0"/>
                <w:sz w:val="16"/>
              </w:rPr>
              <w:t>A severe/Red heat condition applies while students are already in school. What happens during the next two hours? Who decides, who communicates, and how are primary and secondary pupils treated?</w:t>
            </w:r>
          </w:p>
        </w:tc>
      </w:tr>
      <w:tr>
        <w:tc>
          <w:tcPr>
            <w:tcW w:type="dxa" w:w="5040"/>
            <w:vAlign w:val="top"/>
          </w:tcPr>
          <w:p>
            <w:pPr>
              <w:spacing w:after="0"/>
            </w:pPr>
            <w:r/>
            <w:r>
              <w:rPr>
                <w:rFonts w:ascii="Times New Roman" w:hAnsi="Times New Roman" w:eastAsia="Times New Roman"/>
                <w:b w:val="0"/>
                <w:sz w:val="16"/>
              </w:rPr>
              <w:t>V5 — Delayed guardian / continuity of care</w:t>
            </w:r>
          </w:p>
        </w:tc>
        <w:tc>
          <w:tcPr>
            <w:tcW w:type="dxa" w:w="5040"/>
            <w:vAlign w:val="top"/>
          </w:tcPr>
          <w:p>
            <w:pPr>
              <w:spacing w:after="0"/>
            </w:pPr>
            <w:r/>
            <w:r>
              <w:rPr>
                <w:rFonts w:ascii="Times New Roman" w:hAnsi="Times New Roman" w:eastAsia="Times New Roman"/>
                <w:b w:val="0"/>
                <w:sz w:val="16"/>
              </w:rPr>
              <w:t>Early dispersal is considered or ordered, but some primary-school pupils cannot be collected for several hours. What happens to those pupils, where are they kept, who supervises them, and who owns the decision?</w:t>
            </w:r>
          </w:p>
        </w:tc>
      </w:tr>
    </w:tbl>
    <w:p>
      <w:pPr>
        <w:spacing w:after="100" w:line="283" w:lineRule="auto"/>
      </w:pPr>
      <w:r>
        <w:rPr>
          <w:rFonts w:ascii="Times New Roman" w:hAnsi="Times New Roman" w:eastAsia="Times New Roman"/>
          <w:i w:val="0"/>
          <w:sz w:val="22"/>
        </w:rPr>
        <w:t>The vignettes deliberately do not state that a specific colour legally authorises closure or dismissal. This avoids teaching the respondent the researcher’s assumption and allows the actor to explain the actual trigger and authority they recognise.</w:t>
      </w:r>
    </w:p>
    <w:p>
      <w:pPr>
        <w:pStyle w:val="Heading2"/>
      </w:pPr>
      <w:r>
        <w:t>6.6 Data source 3 — structured school observation and situational evidence</w:t>
      </w:r>
    </w:p>
    <w:p>
      <w:pPr>
        <w:spacing w:after="100" w:line="283" w:lineRule="auto"/>
      </w:pPr>
      <w:r>
        <w:rPr>
          <w:rFonts w:ascii="Times New Roman" w:hAnsi="Times New Roman" w:eastAsia="Times New Roman"/>
          <w:i w:val="0"/>
          <w:sz w:val="22"/>
        </w:rPr>
        <w:t>Where access is granted, a structured walkthrough will document water points, fan/ventilation condition, shade, top-floor or highly exposed rooms, cooler spaces, assembly and sport areas, first-aid arrangements, entrances/exits and possible temporary holding areas. Limited temperature/humidity observations may be used as contextual evidence during the heat season; they will not be used to classify IMD warning levels or to construct a quantitative heat-resilience index. Official meteorological products remain the hazard reference.</w:t>
      </w:r>
    </w:p>
    <w:p>
      <w:pPr>
        <w:spacing w:after="100" w:line="283" w:lineRule="auto"/>
      </w:pPr>
      <w:r>
        <w:rPr>
          <w:rFonts w:ascii="Times New Roman" w:hAnsi="Times New Roman" w:eastAsia="Times New Roman"/>
          <w:i w:val="0"/>
          <w:sz w:val="22"/>
        </w:rPr>
        <w:t>This distinction responds to a problem identified in heat-service literature: different indicators answer different questions, and a local measure should not be substituted for the authoritative warning system without a defined decision purpose (Marghidan et al., 2025).</w:t>
      </w:r>
    </w:p>
    <w:p>
      <w:pPr>
        <w:pStyle w:val="Heading2"/>
      </w:pPr>
      <w:r>
        <w:t>6.7 Timing and heat-season confirmation</w:t>
      </w:r>
    </w:p>
    <w:p>
      <w:pPr>
        <w:spacing w:after="100" w:line="283" w:lineRule="auto"/>
      </w:pPr>
      <w:r>
        <w:rPr>
          <w:rFonts w:ascii="Times New Roman" w:hAnsi="Times New Roman" w:eastAsia="Times New Roman"/>
          <w:i w:val="0"/>
          <w:sz w:val="22"/>
        </w:rPr>
        <w:t>Because interviews outside peak heat rely partly on recall and hypothetical reasoning, the thesis design includes a heat-season confirmation component where feasible. A subset of schools will be revisited or re-contacted during an actual warm/heat-alert period to compare earlier accounts with live practice. This confirmation is not framed as an experiment; it is a temporal triangulation check on whether claimed preparedness and decision rules are visible when heat becomes operationally salient.</w:t>
      </w:r>
    </w:p>
    <w:p>
      <w:pPr>
        <w:pStyle w:val="Heading2"/>
      </w:pPr>
      <w:r>
        <w:t>6.8 Fieldwork sequence to avoid circular conclusions</w:t>
      </w:r>
    </w:p>
    <w:p>
      <w:pPr>
        <w:pStyle w:val="ListNumber"/>
        <w:spacing w:after="60"/>
      </w:pPr>
      <w:r>
        <w:rPr>
          <w:rFonts w:ascii="Times New Roman" w:hAnsi="Times New Roman" w:eastAsia="Times New Roman"/>
          <w:sz w:val="22"/>
        </w:rPr>
        <w:t>Establish the formal policy pathway before interviewing schools.</w:t>
      </w:r>
    </w:p>
    <w:p>
      <w:pPr>
        <w:pStyle w:val="ListNumber"/>
        <w:spacing w:after="60"/>
      </w:pPr>
      <w:r>
        <w:rPr>
          <w:rFonts w:ascii="Times New Roman" w:hAnsi="Times New Roman" w:eastAsia="Times New Roman"/>
          <w:sz w:val="22"/>
        </w:rPr>
        <w:t>Verify whether and how the school received 2026/2027 heat instructions and alerts.</w:t>
      </w:r>
    </w:p>
    <w:p>
      <w:pPr>
        <w:pStyle w:val="ListNumber"/>
        <w:spacing w:after="60"/>
      </w:pPr>
      <w:r>
        <w:rPr>
          <w:rFonts w:ascii="Times New Roman" w:hAnsi="Times New Roman" w:eastAsia="Times New Roman"/>
          <w:sz w:val="22"/>
        </w:rPr>
        <w:t>Test comprehension and escalation interpretation before asking why action was or was not taken.</w:t>
      </w:r>
    </w:p>
    <w:p>
      <w:pPr>
        <w:pStyle w:val="ListNumber"/>
        <w:spacing w:after="60"/>
      </w:pPr>
      <w:r>
        <w:rPr>
          <w:rFonts w:ascii="Times New Roman" w:hAnsi="Times New Roman" w:eastAsia="Times New Roman"/>
          <w:sz w:val="22"/>
        </w:rPr>
        <w:t>Clarify formal and perceived jurisdiction before coding “authority barrier.”</w:t>
      </w:r>
    </w:p>
    <w:p>
      <w:pPr>
        <w:pStyle w:val="ListNumber"/>
        <w:spacing w:after="60"/>
      </w:pPr>
      <w:r>
        <w:rPr>
          <w:rFonts w:ascii="Times New Roman" w:hAnsi="Times New Roman" w:eastAsia="Times New Roman"/>
          <w:sz w:val="22"/>
        </w:rPr>
        <w:t>Test resources and context before attributing non-action to motivation or habit.</w:t>
      </w:r>
    </w:p>
    <w:p>
      <w:pPr>
        <w:pStyle w:val="ListNumber"/>
        <w:spacing w:after="60"/>
      </w:pPr>
      <w:r>
        <w:rPr>
          <w:rFonts w:ascii="Times New Roman" w:hAnsi="Times New Roman" w:eastAsia="Times New Roman"/>
          <w:sz w:val="22"/>
        </w:rPr>
        <w:t>Evaluate the child-protection consequence of the action rather than coding action itself as success.</w:t>
      </w:r>
    </w:p>
    <w:p>
      <w:pPr>
        <w:pStyle w:val="ListNumber"/>
        <w:spacing w:after="60"/>
      </w:pPr>
      <w:r>
        <w:rPr>
          <w:rFonts w:ascii="Times New Roman" w:hAnsi="Times New Roman" w:eastAsia="Times New Roman"/>
          <w:sz w:val="22"/>
        </w:rPr>
        <w:t>Search deliberately for negative and positive-deviant cases before revising the framework.</w:t>
      </w:r>
    </w:p>
    <w:p>
      <w:pPr>
        <w:pStyle w:val="Heading1"/>
      </w:pPr>
      <w:r>
        <w:t>7. DATA ANALYSIS AND FRAMEWORK REFINEMENT</w:t>
      </w:r>
    </w:p>
    <w:p>
      <w:pPr>
        <w:pStyle w:val="Heading2"/>
      </w:pPr>
      <w:r>
        <w:t>7.1 Stage 1 — reconstruct the formal model</w:t>
      </w:r>
    </w:p>
    <w:p>
      <w:pPr>
        <w:spacing w:after="100" w:line="283" w:lineRule="auto"/>
      </w:pPr>
      <w:r>
        <w:rPr>
          <w:rFonts w:ascii="Times New Roman" w:hAnsi="Times New Roman" w:eastAsia="Times New Roman"/>
          <w:i w:val="0"/>
          <w:sz w:val="22"/>
        </w:rPr>
        <w:t>Documents will first be charted into a formal actionability matrix. The purpose is to distinguish explicit provisions from researcher inference. A school action will not be described as “required at Red” unless the source actually links that trigger, actor and action or a competent official clarifies the intended rule.</w:t>
      </w:r>
    </w:p>
    <w:p>
      <w:pPr>
        <w:pStyle w:val="Heading2"/>
      </w:pPr>
      <w:r>
        <w:t>7.2 Stage 2 — Framework Method coding</w:t>
      </w:r>
    </w:p>
    <w:p>
      <w:pPr>
        <w:spacing w:after="100" w:line="283" w:lineRule="auto"/>
      </w:pPr>
      <w:r>
        <w:rPr>
          <w:rFonts w:ascii="Times New Roman" w:hAnsi="Times New Roman" w:eastAsia="Times New Roman"/>
          <w:i w:val="0"/>
          <w:sz w:val="22"/>
        </w:rPr>
        <w:t>Interview and observation data will be analysed using the Framework Method (Gale et al., 2013). Initial parent categories will follow SHGTF—preparedness, interpretation, jurisdiction, feasibility, continuity and learning—while open coding will capture unanticipated mechanisms. The method is appropriate because it preserves both within-case narratives and cross-case matrices.</w:t>
      </w:r>
    </w:p>
    <w:p>
      <w:pPr>
        <w:pStyle w:val="Heading2"/>
      </w:pPr>
      <w:r>
        <w:t>7.3 Stage 3 — Policy–Principal–Teacher–Practice (PPTP) comparison</w:t>
      </w:r>
    </w:p>
    <w:p>
      <w:pPr>
        <w:spacing w:after="100" w:line="283" w:lineRule="auto"/>
      </w:pPr>
      <w:r>
        <w:rPr>
          <w:rFonts w:ascii="Times New Roman" w:hAnsi="Times New Roman" w:eastAsia="Times New Roman"/>
          <w:i w:val="0"/>
          <w:sz w:val="22"/>
        </w:rPr>
        <w:t>For each major decision domain, the study will compare four evidence positions: formal policy, principal interpretation, teacher interpretation and evidenced practice. “Institutional coherence” will be interpreted qualitatively as convergence around trigger, authority, role and action. Divergence will be investigated rather than averaged away.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D9EAF7"/>
          </w:tcPr>
          <w:p>
            <w:pPr>
              <w:spacing w:after="0"/>
            </w:pPr>
            <w:r/>
            <w:r>
              <w:rPr>
                <w:rFonts w:ascii="Times New Roman" w:hAnsi="Times New Roman" w:eastAsia="Times New Roman"/>
                <w:b/>
                <w:sz w:val="15"/>
              </w:rPr>
              <w:t>Decision domain</w:t>
            </w:r>
          </w:p>
        </w:tc>
        <w:tc>
          <w:tcPr>
            <w:tcW w:type="dxa" w:w="1680"/>
            <w:vAlign w:val="top"/>
            <w:shd w:fill="D9EAF7"/>
          </w:tcPr>
          <w:p>
            <w:pPr>
              <w:spacing w:after="0"/>
            </w:pPr>
            <w:r/>
            <w:r>
              <w:rPr>
                <w:rFonts w:ascii="Times New Roman" w:hAnsi="Times New Roman" w:eastAsia="Times New Roman"/>
                <w:b/>
                <w:sz w:val="15"/>
              </w:rPr>
              <w:t>Policy</w:t>
            </w:r>
          </w:p>
        </w:tc>
        <w:tc>
          <w:tcPr>
            <w:tcW w:type="dxa" w:w="1680"/>
            <w:vAlign w:val="top"/>
            <w:shd w:fill="D9EAF7"/>
          </w:tcPr>
          <w:p>
            <w:pPr>
              <w:spacing w:after="0"/>
            </w:pPr>
            <w:r/>
            <w:r>
              <w:rPr>
                <w:rFonts w:ascii="Times New Roman" w:hAnsi="Times New Roman" w:eastAsia="Times New Roman"/>
                <w:b/>
                <w:sz w:val="15"/>
              </w:rPr>
              <w:t>Principal</w:t>
            </w:r>
          </w:p>
        </w:tc>
        <w:tc>
          <w:tcPr>
            <w:tcW w:type="dxa" w:w="1680"/>
            <w:vAlign w:val="top"/>
            <w:shd w:fill="D9EAF7"/>
          </w:tcPr>
          <w:p>
            <w:pPr>
              <w:spacing w:after="0"/>
            </w:pPr>
            <w:r/>
            <w:r>
              <w:rPr>
                <w:rFonts w:ascii="Times New Roman" w:hAnsi="Times New Roman" w:eastAsia="Times New Roman"/>
                <w:b/>
                <w:sz w:val="15"/>
              </w:rPr>
              <w:t>Teacher</w:t>
            </w:r>
          </w:p>
        </w:tc>
        <w:tc>
          <w:tcPr>
            <w:tcW w:type="dxa" w:w="1680"/>
            <w:vAlign w:val="top"/>
            <w:shd w:fill="D9EAF7"/>
          </w:tcPr>
          <w:p>
            <w:pPr>
              <w:spacing w:after="0"/>
            </w:pPr>
            <w:r/>
            <w:r>
              <w:rPr>
                <w:rFonts w:ascii="Times New Roman" w:hAnsi="Times New Roman" w:eastAsia="Times New Roman"/>
                <w:b/>
                <w:sz w:val="15"/>
              </w:rPr>
              <w:t>Practice/evidence</w:t>
            </w:r>
          </w:p>
        </w:tc>
        <w:tc>
          <w:tcPr>
            <w:tcW w:type="dxa" w:w="1680"/>
            <w:vAlign w:val="top"/>
            <w:shd w:fill="D9EAF7"/>
          </w:tcPr>
          <w:p>
            <w:pPr>
              <w:spacing w:after="0"/>
            </w:pPr>
            <w:r/>
            <w:r>
              <w:rPr>
                <w:rFonts w:ascii="Times New Roman" w:hAnsi="Times New Roman" w:eastAsia="Times New Roman"/>
                <w:b/>
                <w:sz w:val="15"/>
              </w:rPr>
              <w:t>Interpretation</w:t>
            </w:r>
          </w:p>
        </w:tc>
      </w:tr>
      <w:tr>
        <w:tc>
          <w:tcPr>
            <w:tcW w:type="dxa" w:w="1680"/>
            <w:vAlign w:val="top"/>
          </w:tcPr>
          <w:p>
            <w:pPr>
              <w:spacing w:after="0"/>
            </w:pPr>
            <w:r/>
            <w:r>
              <w:rPr>
                <w:rFonts w:ascii="Times New Roman" w:hAnsi="Times New Roman" w:eastAsia="Times New Roman"/>
                <w:b w:val="0"/>
                <w:sz w:val="15"/>
              </w:rPr>
              <w:t>Pre-season readiness</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r>
        <w:tc>
          <w:tcPr>
            <w:tcW w:type="dxa" w:w="1680"/>
            <w:vAlign w:val="top"/>
          </w:tcPr>
          <w:p>
            <w:pPr>
              <w:spacing w:after="0"/>
            </w:pPr>
            <w:r/>
            <w:r>
              <w:rPr>
                <w:rFonts w:ascii="Times New Roman" w:hAnsi="Times New Roman" w:eastAsia="Times New Roman"/>
                <w:b w:val="0"/>
                <w:sz w:val="15"/>
              </w:rPr>
              <w:t>Alert escalation</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r>
        <w:tc>
          <w:tcPr>
            <w:tcW w:type="dxa" w:w="1680"/>
            <w:vAlign w:val="top"/>
          </w:tcPr>
          <w:p>
            <w:pPr>
              <w:spacing w:after="0"/>
            </w:pPr>
            <w:r/>
            <w:r>
              <w:rPr>
                <w:rFonts w:ascii="Times New Roman" w:hAnsi="Times New Roman" w:eastAsia="Times New Roman"/>
                <w:b w:val="0"/>
                <w:sz w:val="15"/>
              </w:rPr>
              <w:t>Outdoor activity</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r>
        <w:tc>
          <w:tcPr>
            <w:tcW w:type="dxa" w:w="1680"/>
            <w:vAlign w:val="top"/>
          </w:tcPr>
          <w:p>
            <w:pPr>
              <w:spacing w:after="0"/>
            </w:pPr>
            <w:r/>
            <w:r>
              <w:rPr>
                <w:rFonts w:ascii="Times New Roman" w:hAnsi="Times New Roman" w:eastAsia="Times New Roman"/>
                <w:b w:val="0"/>
                <w:sz w:val="15"/>
              </w:rPr>
              <w:t>Timing / dispersal</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r>
        <w:tc>
          <w:tcPr>
            <w:tcW w:type="dxa" w:w="1680"/>
            <w:vAlign w:val="top"/>
          </w:tcPr>
          <w:p>
            <w:pPr>
              <w:spacing w:after="0"/>
            </w:pPr>
            <w:r/>
            <w:r>
              <w:rPr>
                <w:rFonts w:ascii="Times New Roman" w:hAnsi="Times New Roman" w:eastAsia="Times New Roman"/>
                <w:b w:val="0"/>
                <w:sz w:val="15"/>
              </w:rPr>
              <w:t>Delayed guardian</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r>
        <w:tc>
          <w:tcPr>
            <w:tcW w:type="dxa" w:w="1680"/>
            <w:vAlign w:val="top"/>
          </w:tcPr>
          <w:p>
            <w:pPr>
              <w:spacing w:after="0"/>
            </w:pPr>
            <w:r/>
            <w:r>
              <w:rPr>
                <w:rFonts w:ascii="Times New Roman" w:hAnsi="Times New Roman" w:eastAsia="Times New Roman"/>
                <w:b w:val="0"/>
                <w:sz w:val="15"/>
              </w:rPr>
              <w:t>Feedback / learning</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c>
          <w:tcPr>
            <w:tcW w:type="dxa" w:w="1680"/>
            <w:vAlign w:val="top"/>
          </w:tcPr>
          <w:p>
            <w:pPr>
              <w:spacing w:after="0"/>
            </w:pPr>
            <w:r/>
            <w:r>
              <w:rPr>
                <w:rFonts w:ascii="Times New Roman" w:hAnsi="Times New Roman" w:eastAsia="Times New Roman"/>
                <w:b w:val="0"/>
                <w:sz w:val="15"/>
              </w:rPr>
              <w:t>...</w:t>
            </w:r>
          </w:p>
        </w:tc>
      </w:tr>
    </w:tbl>
    <w:p>
      <w:pPr>
        <w:pStyle w:val="Heading2"/>
      </w:pPr>
      <w:r>
        <w:t>7.4 Stage 4 — realist-informed Context–Mechanism–Outcome explanation</w:t>
      </w:r>
    </w:p>
    <w:p>
      <w:pPr>
        <w:spacing w:after="100" w:line="283" w:lineRule="auto"/>
      </w:pPr>
      <w:r>
        <w:rPr>
          <w:rFonts w:ascii="Times New Roman" w:hAnsi="Times New Roman" w:eastAsia="Times New Roman"/>
          <w:i w:val="0"/>
          <w:sz w:val="22"/>
        </w:rPr>
        <w:t>The study will then move beyond coding frequency to explanation. A context is a condition such as double shift, unreliable water, younger pupils or centralised approval. A mechanism is the reasoning or institutional process activated in that context—perceived lack of jurisdiction, low response efficacy, accountability fear, familiar-practice adherence, resource triage or anticipatory preparation. The outcome is the resulting action, delay, improvisation or protective consequence. This C–M–O heuristic will be used interpretively, not as a claim of deterministic causation.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EAF7"/>
          </w:tcPr>
          <w:p>
            <w:pPr>
              <w:spacing w:after="0"/>
            </w:pPr>
            <w:r/>
            <w:r>
              <w:rPr>
                <w:rFonts w:ascii="Times New Roman" w:hAnsi="Times New Roman" w:eastAsia="Times New Roman"/>
                <w:b/>
                <w:sz w:val="16"/>
              </w:rPr>
              <w:t>Context</w:t>
            </w:r>
          </w:p>
        </w:tc>
        <w:tc>
          <w:tcPr>
            <w:tcW w:type="dxa" w:w="3360"/>
            <w:vAlign w:val="top"/>
            <w:shd w:fill="D9EAF7"/>
          </w:tcPr>
          <w:p>
            <w:pPr>
              <w:spacing w:after="0"/>
            </w:pPr>
            <w:r/>
            <w:r>
              <w:rPr>
                <w:rFonts w:ascii="Times New Roman" w:hAnsi="Times New Roman" w:eastAsia="Times New Roman"/>
                <w:b/>
                <w:sz w:val="16"/>
              </w:rPr>
              <w:t>Possible mechanism</w:t>
            </w:r>
          </w:p>
        </w:tc>
        <w:tc>
          <w:tcPr>
            <w:tcW w:type="dxa" w:w="3360"/>
            <w:vAlign w:val="top"/>
            <w:shd w:fill="D9EAF7"/>
          </w:tcPr>
          <w:p>
            <w:pPr>
              <w:spacing w:after="0"/>
            </w:pPr>
            <w:r/>
            <w:r>
              <w:rPr>
                <w:rFonts w:ascii="Times New Roman" w:hAnsi="Times New Roman" w:eastAsia="Times New Roman"/>
                <w:b/>
                <w:sz w:val="16"/>
              </w:rPr>
              <w:t>Outcome to test</w:t>
            </w:r>
          </w:p>
        </w:tc>
      </w:tr>
      <w:tr>
        <w:tc>
          <w:tcPr>
            <w:tcW w:type="dxa" w:w="3360"/>
            <w:vAlign w:val="top"/>
          </w:tcPr>
          <w:p>
            <w:pPr>
              <w:spacing w:after="0"/>
            </w:pPr>
            <w:r/>
            <w:r>
              <w:rPr>
                <w:rFonts w:ascii="Times New Roman" w:hAnsi="Times New Roman" w:eastAsia="Times New Roman"/>
                <w:b w:val="0"/>
                <w:sz w:val="16"/>
              </w:rPr>
              <w:t>Worsening forecast + clear pre-season delegation</w:t>
            </w:r>
          </w:p>
        </w:tc>
        <w:tc>
          <w:tcPr>
            <w:tcW w:type="dxa" w:w="3360"/>
            <w:vAlign w:val="top"/>
          </w:tcPr>
          <w:p>
            <w:pPr>
              <w:spacing w:after="0"/>
            </w:pPr>
            <w:r/>
            <w:r>
              <w:rPr>
                <w:rFonts w:ascii="Times New Roman" w:hAnsi="Times New Roman" w:eastAsia="Times New Roman"/>
                <w:b w:val="0"/>
                <w:sz w:val="16"/>
              </w:rPr>
              <w:t>Principal perceives early adjustment as legitimate and expected.</w:t>
            </w:r>
          </w:p>
        </w:tc>
        <w:tc>
          <w:tcPr>
            <w:tcW w:type="dxa" w:w="3360"/>
            <w:vAlign w:val="top"/>
          </w:tcPr>
          <w:p>
            <w:pPr>
              <w:spacing w:after="0"/>
            </w:pPr>
            <w:r/>
            <w:r>
              <w:rPr>
                <w:rFonts w:ascii="Times New Roman" w:hAnsi="Times New Roman" w:eastAsia="Times New Roman"/>
                <w:b w:val="0"/>
                <w:sz w:val="16"/>
              </w:rPr>
              <w:t>Anticipatory preparation before severe alert.</w:t>
            </w:r>
          </w:p>
        </w:tc>
      </w:tr>
      <w:tr>
        <w:tc>
          <w:tcPr>
            <w:tcW w:type="dxa" w:w="3360"/>
            <w:vAlign w:val="top"/>
          </w:tcPr>
          <w:p>
            <w:pPr>
              <w:spacing w:after="0"/>
            </w:pPr>
            <w:r/>
            <w:r>
              <w:rPr>
                <w:rFonts w:ascii="Times New Roman" w:hAnsi="Times New Roman" w:eastAsia="Times New Roman"/>
                <w:b w:val="0"/>
                <w:sz w:val="16"/>
              </w:rPr>
              <w:t>Worsening forecast + unclear delegation</w:t>
            </w:r>
          </w:p>
        </w:tc>
        <w:tc>
          <w:tcPr>
            <w:tcW w:type="dxa" w:w="3360"/>
            <w:vAlign w:val="top"/>
          </w:tcPr>
          <w:p>
            <w:pPr>
              <w:spacing w:after="0"/>
            </w:pPr>
            <w:r/>
            <w:r>
              <w:rPr>
                <w:rFonts w:ascii="Times New Roman" w:hAnsi="Times New Roman" w:eastAsia="Times New Roman"/>
                <w:b w:val="0"/>
                <w:sz w:val="16"/>
              </w:rPr>
              <w:t>Principal waits for explicit higher order to avoid accountability risk.</w:t>
            </w:r>
          </w:p>
        </w:tc>
        <w:tc>
          <w:tcPr>
            <w:tcW w:type="dxa" w:w="3360"/>
            <w:vAlign w:val="top"/>
          </w:tcPr>
          <w:p>
            <w:pPr>
              <w:spacing w:after="0"/>
            </w:pPr>
            <w:r/>
            <w:r>
              <w:rPr>
                <w:rFonts w:ascii="Times New Roman" w:hAnsi="Times New Roman" w:eastAsia="Times New Roman"/>
                <w:b w:val="0"/>
                <w:sz w:val="16"/>
              </w:rPr>
              <w:t>Reactive rather than anticipatory action.</w:t>
            </w:r>
          </w:p>
        </w:tc>
      </w:tr>
      <w:tr>
        <w:tc>
          <w:tcPr>
            <w:tcW w:type="dxa" w:w="3360"/>
            <w:vAlign w:val="top"/>
          </w:tcPr>
          <w:p>
            <w:pPr>
              <w:spacing w:after="0"/>
            </w:pPr>
            <w:r/>
            <w:r>
              <w:rPr>
                <w:rFonts w:ascii="Times New Roman" w:hAnsi="Times New Roman" w:eastAsia="Times New Roman"/>
                <w:b w:val="0"/>
                <w:sz w:val="16"/>
              </w:rPr>
              <w:t>Clear authority + water failure / exposed rooms</w:t>
            </w:r>
          </w:p>
        </w:tc>
        <w:tc>
          <w:tcPr>
            <w:tcW w:type="dxa" w:w="3360"/>
            <w:vAlign w:val="top"/>
          </w:tcPr>
          <w:p>
            <w:pPr>
              <w:spacing w:after="0"/>
            </w:pPr>
            <w:r/>
            <w:r>
              <w:rPr>
                <w:rFonts w:ascii="Times New Roman" w:hAnsi="Times New Roman" w:eastAsia="Times New Roman"/>
                <w:b w:val="0"/>
                <w:sz w:val="16"/>
              </w:rPr>
              <w:t>Actor judges prescribed action infeasible or insufficient.</w:t>
            </w:r>
          </w:p>
        </w:tc>
        <w:tc>
          <w:tcPr>
            <w:tcW w:type="dxa" w:w="3360"/>
            <w:vAlign w:val="top"/>
          </w:tcPr>
          <w:p>
            <w:pPr>
              <w:spacing w:after="0"/>
            </w:pPr>
            <w:r/>
            <w:r>
              <w:rPr>
                <w:rFonts w:ascii="Times New Roman" w:hAnsi="Times New Roman" w:eastAsia="Times New Roman"/>
                <w:b w:val="0"/>
                <w:sz w:val="16"/>
              </w:rPr>
              <w:t>Adaptation, escalation, or partial implementation.</w:t>
            </w:r>
          </w:p>
        </w:tc>
      </w:tr>
      <w:tr>
        <w:tc>
          <w:tcPr>
            <w:tcW w:type="dxa" w:w="3360"/>
            <w:vAlign w:val="top"/>
          </w:tcPr>
          <w:p>
            <w:pPr>
              <w:spacing w:after="0"/>
            </w:pPr>
            <w:r/>
            <w:r>
              <w:rPr>
                <w:rFonts w:ascii="Times New Roman" w:hAnsi="Times New Roman" w:eastAsia="Times New Roman"/>
                <w:b w:val="0"/>
                <w:sz w:val="16"/>
              </w:rPr>
              <w:t>Early dispersal + high guardian dependency</w:t>
            </w:r>
          </w:p>
        </w:tc>
        <w:tc>
          <w:tcPr>
            <w:tcW w:type="dxa" w:w="3360"/>
            <w:vAlign w:val="top"/>
          </w:tcPr>
          <w:p>
            <w:pPr>
              <w:spacing w:after="0"/>
            </w:pPr>
            <w:r/>
            <w:r>
              <w:rPr>
                <w:rFonts w:ascii="Times New Roman" w:hAnsi="Times New Roman" w:eastAsia="Times New Roman"/>
                <w:b w:val="0"/>
                <w:sz w:val="16"/>
              </w:rPr>
              <w:t>Actor anticipates care/transport risk.</w:t>
            </w:r>
          </w:p>
        </w:tc>
        <w:tc>
          <w:tcPr>
            <w:tcW w:type="dxa" w:w="3360"/>
            <w:vAlign w:val="top"/>
          </w:tcPr>
          <w:p>
            <w:pPr>
              <w:spacing w:after="0"/>
            </w:pPr>
            <w:r/>
            <w:r>
              <w:rPr>
                <w:rFonts w:ascii="Times New Roman" w:hAnsi="Times New Roman" w:eastAsia="Times New Roman"/>
                <w:b w:val="0"/>
                <w:sz w:val="16"/>
              </w:rPr>
              <w:t>Delayed dispersal, temporary holding, or improvised arrangement.</w:t>
            </w:r>
          </w:p>
        </w:tc>
      </w:tr>
      <w:tr>
        <w:tc>
          <w:tcPr>
            <w:tcW w:type="dxa" w:w="3360"/>
            <w:vAlign w:val="top"/>
          </w:tcPr>
          <w:p>
            <w:pPr>
              <w:spacing w:after="0"/>
            </w:pPr>
            <w:r/>
            <w:r>
              <w:rPr>
                <w:rFonts w:ascii="Times New Roman" w:hAnsi="Times New Roman" w:eastAsia="Times New Roman"/>
                <w:b w:val="0"/>
                <w:sz w:val="16"/>
              </w:rPr>
              <w:t>Repeated heat seasons + no review mechanism</w:t>
            </w:r>
          </w:p>
        </w:tc>
        <w:tc>
          <w:tcPr>
            <w:tcW w:type="dxa" w:w="3360"/>
            <w:vAlign w:val="top"/>
          </w:tcPr>
          <w:p>
            <w:pPr>
              <w:spacing w:after="0"/>
            </w:pPr>
            <w:r/>
            <w:r>
              <w:rPr>
                <w:rFonts w:ascii="Times New Roman" w:hAnsi="Times New Roman" w:eastAsia="Times New Roman"/>
                <w:b w:val="0"/>
                <w:sz w:val="16"/>
              </w:rPr>
              <w:t>Problems remain episodic rather than organisationally learned.</w:t>
            </w:r>
          </w:p>
        </w:tc>
        <w:tc>
          <w:tcPr>
            <w:tcW w:type="dxa" w:w="3360"/>
            <w:vAlign w:val="top"/>
          </w:tcPr>
          <w:p>
            <w:pPr>
              <w:spacing w:after="0"/>
            </w:pPr>
            <w:r/>
            <w:r>
              <w:rPr>
                <w:rFonts w:ascii="Times New Roman" w:hAnsi="Times New Roman" w:eastAsia="Times New Roman"/>
                <w:b w:val="0"/>
                <w:sz w:val="16"/>
              </w:rPr>
              <w:t>Same barriers recur next season.</w:t>
            </w:r>
          </w:p>
        </w:tc>
      </w:tr>
    </w:tbl>
    <w:p>
      <w:pPr>
        <w:pStyle w:val="Heading2"/>
      </w:pPr>
      <w:r>
        <w:t>7.5 Stage 5 — adjudicate rival explanations</w:t>
      </w:r>
    </w:p>
    <w:p>
      <w:pPr>
        <w:spacing w:after="100" w:line="283" w:lineRule="auto"/>
      </w:pPr>
      <w:r>
        <w:rPr>
          <w:rFonts w:ascii="Times New Roman" w:hAnsi="Times New Roman" w:eastAsia="Times New Roman"/>
          <w:i w:val="0"/>
          <w:sz w:val="22"/>
        </w:rPr>
        <w:t>The framework will be considered strengthened only if it explains evidence better than simpler alternatives. For example, if most non-action cases begin with non-receipt, the study must foreground communication rather than institutional translation. If well-resourced schools still fail despite clear authority, familiar-practice or perceived efficacy may become more important. If schools routinely take timely action using informal mechanisms, the framework must recognise adaptive improvisation rather than treating formalisation as the only route to effectiveness.</w:t>
      </w:r>
    </w:p>
    <w:p>
      <w:pPr>
        <w:pStyle w:val="Heading2"/>
      </w:pPr>
      <w:r>
        <w:t>7.6 Stage 6 — revise the framework</w:t>
      </w:r>
    </w:p>
    <w:p>
      <w:pPr>
        <w:spacing w:after="100" w:line="283" w:lineRule="auto"/>
      </w:pPr>
      <w:r>
        <w:rPr>
          <w:rFonts w:ascii="Times New Roman" w:hAnsi="Times New Roman" w:eastAsia="Times New Roman"/>
          <w:i w:val="0"/>
          <w:sz w:val="22"/>
        </w:rPr>
        <w:t>SHGTF Version 0 will be revised transparently using a framework-change log recording: initial proposition, evidence supporting it, evidence contradicting it, modification made and residual uncertainty. The final thesis will therefore report not only the resulting framework but also how the framework changed because of field evidence.</w:t>
      </w:r>
    </w:p>
    <w:p>
      <w:pPr>
        <w:pStyle w:val="Heading2"/>
      </w:pPr>
      <w:r>
        <w:t>7.7 Trustworthiness</w:t>
      </w:r>
    </w:p>
    <w:p>
      <w:pPr>
        <w:pStyle w:val="ListBullet"/>
        <w:spacing w:after="60" w:line="269" w:lineRule="auto"/>
        <w:ind w:left="432"/>
      </w:pPr>
      <w:r>
        <w:rPr>
          <w:rFonts w:ascii="Times New Roman" w:hAnsi="Times New Roman" w:eastAsia="Times New Roman"/>
          <w:sz w:val="22"/>
        </w:rPr>
        <w:t>Triangulation across documents, principal interviews, teacher interviews, official interviews and observation.</w:t>
      </w:r>
    </w:p>
    <w:p>
      <w:pPr>
        <w:pStyle w:val="ListBullet"/>
        <w:spacing w:after="60" w:line="269" w:lineRule="auto"/>
        <w:ind w:left="432"/>
      </w:pPr>
      <w:r>
        <w:rPr>
          <w:rFonts w:ascii="Times New Roman" w:hAnsi="Times New Roman" w:eastAsia="Times New Roman"/>
          <w:sz w:val="22"/>
        </w:rPr>
        <w:t>Matched vignettes to make principal–teacher comparisons analytically meaningful.</w:t>
      </w:r>
    </w:p>
    <w:p>
      <w:pPr>
        <w:pStyle w:val="ListBullet"/>
        <w:spacing w:after="60" w:line="269" w:lineRule="auto"/>
        <w:ind w:left="432"/>
      </w:pPr>
      <w:r>
        <w:rPr>
          <w:rFonts w:ascii="Times New Roman" w:hAnsi="Times New Roman" w:eastAsia="Times New Roman"/>
          <w:sz w:val="22"/>
        </w:rPr>
        <w:t>Negative-case and positive-deviance analysis to prevent deficit-only conclusions.</w:t>
      </w:r>
    </w:p>
    <w:p>
      <w:pPr>
        <w:pStyle w:val="ListBullet"/>
        <w:spacing w:after="60" w:line="269" w:lineRule="auto"/>
        <w:ind w:left="432"/>
      </w:pPr>
      <w:r>
        <w:rPr>
          <w:rFonts w:ascii="Times New Roman" w:hAnsi="Times New Roman" w:eastAsia="Times New Roman"/>
          <w:sz w:val="22"/>
        </w:rPr>
        <w:t>Partial independent double-coding of selected transcripts followed by codebook refinement; agreement will be discussed rather than reduced to a single mechanical threshold.</w:t>
      </w:r>
    </w:p>
    <w:p>
      <w:pPr>
        <w:pStyle w:val="ListBullet"/>
        <w:spacing w:after="60" w:line="269" w:lineRule="auto"/>
        <w:ind w:left="432"/>
      </w:pPr>
      <w:r>
        <w:rPr>
          <w:rFonts w:ascii="Times New Roman" w:hAnsi="Times New Roman" w:eastAsia="Times New Roman"/>
          <w:sz w:val="22"/>
        </w:rPr>
        <w:t>Synthesised member checking focused on factual interpretation and procedural accuracy, not asking participants to endorse the researcher’s theoretical conclusion.</w:t>
      </w:r>
    </w:p>
    <w:p>
      <w:pPr>
        <w:pStyle w:val="ListBullet"/>
        <w:spacing w:after="60" w:line="269" w:lineRule="auto"/>
        <w:ind w:left="432"/>
      </w:pPr>
      <w:r>
        <w:rPr>
          <w:rFonts w:ascii="Times New Roman" w:hAnsi="Times New Roman" w:eastAsia="Times New Roman"/>
          <w:sz w:val="22"/>
        </w:rPr>
        <w:t>A transparent audit trail linking claims to document clauses, interview excerpts and observation notes.</w:t>
      </w:r>
    </w:p>
    <w:p>
      <w:pPr>
        <w:pStyle w:val="Heading1"/>
      </w:pPr>
      <w:r>
        <w:t>8. EXPECTED CONTRIBUTIONS, LIMITATIONS AND ETHICS</w:t>
      </w:r>
    </w:p>
    <w:p>
      <w:pPr>
        <w:pStyle w:val="Heading2"/>
      </w:pPr>
      <w:r>
        <w:t>8.1 Theoretical contribution</w:t>
      </w:r>
    </w:p>
    <w:p>
      <w:pPr>
        <w:spacing w:after="100" w:line="283" w:lineRule="auto"/>
      </w:pPr>
      <w:r>
        <w:rPr>
          <w:rFonts w:ascii="Times New Roman" w:hAnsi="Times New Roman" w:eastAsia="Times New Roman"/>
          <w:i w:val="0"/>
          <w:sz w:val="22"/>
        </w:rPr>
        <w:t>The main theoretical contribution is a mid-range explanation of school heat-governance translation. Existing heat-resilience frameworks are strong on capacities, early-warning frameworks on system components, protective-action models on individual reasoning and policy-enactment theory on contextual translation. SHGTF specifies how those issues interact at the school decision interface. Its novelty lies less in naming new components than in organising them around the relational construct of institutional heat actionability and testing them within one public-school governance system.</w:t>
      </w:r>
      <w:r>
        <w:rPr>
          <w:rFonts w:ascii="Times New Roman" w:hAnsi="Times New Roman" w:eastAsia="Times New Roman"/>
          <w:sz w:val="22"/>
        </w:rPr>
        <w:t xml:space="preserve"> A further contribution is to theorise the standardisation–discretion, coherence–adequacy, forecast–administrative latency and compliance–protection tensions that are obscured when heat governance is evaluated only through the presence of plans or actions.</w:t>
      </w:r>
    </w:p>
    <w:p>
      <w:pPr>
        <w:pStyle w:val="Heading2"/>
      </w:pPr>
      <w:r>
        <w:t>8.2 Empirical contribution</w:t>
      </w:r>
    </w:p>
    <w:p>
      <w:pPr>
        <w:spacing w:after="100" w:line="283" w:lineRule="auto"/>
      </w:pPr>
      <w:r>
        <w:rPr>
          <w:rFonts w:ascii="Times New Roman" w:hAnsi="Times New Roman" w:eastAsia="Times New Roman"/>
          <w:i w:val="0"/>
          <w:sz w:val="22"/>
        </w:rPr>
        <w:t>The study will generate paired evidence on how principals and teachers understand the same heat scenarios, which school conditions shape their decisions, and where formal policy and lived practice diverge. This provides a more granular empirical account than a single-respondent compliance survey or a city-level HAP review.</w:t>
      </w:r>
    </w:p>
    <w:p>
      <w:pPr>
        <w:pStyle w:val="Heading2"/>
      </w:pPr>
      <w:r>
        <w:t>8.3 Methodological contribution</w:t>
      </w:r>
    </w:p>
    <w:p>
      <w:pPr>
        <w:spacing w:after="100" w:line="283" w:lineRule="auto"/>
      </w:pPr>
      <w:r>
        <w:rPr>
          <w:rFonts w:ascii="Times New Roman" w:hAnsi="Times New Roman" w:eastAsia="Times New Roman"/>
          <w:i w:val="0"/>
          <w:sz w:val="22"/>
        </w:rPr>
        <w:t>The combination of actionability coding, matched vignettes, PPTP comparison and realist-informed C–M–O analysis provides a reproducible qualitative strategy for studying policy-to-action translation in schools. The study will be careful not to overstate this as a validated measurement instrument.</w:t>
      </w:r>
    </w:p>
    <w:p>
      <w:pPr>
        <w:pStyle w:val="Heading2"/>
      </w:pPr>
      <w:r>
        <w:t>8.4 Policy contribution</w:t>
      </w:r>
    </w:p>
    <w:p>
      <w:pPr>
        <w:spacing w:after="100" w:line="283" w:lineRule="auto"/>
      </w:pPr>
      <w:r>
        <w:rPr>
          <w:rFonts w:ascii="Times New Roman" w:hAnsi="Times New Roman" w:eastAsia="Times New Roman"/>
          <w:i w:val="0"/>
          <w:sz w:val="22"/>
        </w:rPr>
        <w:t>Policy recommendations will be organised by failure mechanism. A transmission failure requires communication redundancy; an interpretive failure requires clearer action-linked messaging; a jurisdiction failure requires explicit delegation/escalation; a feasibility failure requires resources or operational flexibility; a continuity failure requires child-care and dispersal arrangements; and a learning failure requires review and feedback. This prevents the common recommendation of simply issuing “more awareness” for fundamentally different problems.</w:t>
      </w:r>
    </w:p>
    <w:p>
      <w:pPr>
        <w:pStyle w:val="Heading2"/>
      </w:pPr>
      <w:r>
        <w:t>8.5 Limitations</w:t>
      </w:r>
    </w:p>
    <w:p>
      <w:pPr>
        <w:pStyle w:val="ListBullet"/>
        <w:spacing w:after="60" w:line="269" w:lineRule="auto"/>
        <w:ind w:left="432"/>
      </w:pPr>
      <w:r>
        <w:rPr>
          <w:rFonts w:ascii="Times New Roman" w:hAnsi="Times New Roman" w:eastAsia="Times New Roman"/>
          <w:sz w:val="22"/>
        </w:rPr>
        <w:t>A small qualitative sample cannot estimate the prevalence of any failure mechanism across Delhi.</w:t>
      </w:r>
    </w:p>
    <w:p>
      <w:pPr>
        <w:pStyle w:val="ListBullet"/>
        <w:spacing w:after="60" w:line="269" w:lineRule="auto"/>
        <w:ind w:left="432"/>
      </w:pPr>
      <w:r>
        <w:rPr>
          <w:rFonts w:ascii="Times New Roman" w:hAnsi="Times New Roman" w:eastAsia="Times New Roman"/>
          <w:sz w:val="22"/>
        </w:rPr>
        <w:t>Principal and teacher accounts may be affected by recall, desirability and institutional sensitivity.</w:t>
      </w:r>
    </w:p>
    <w:p>
      <w:pPr>
        <w:pStyle w:val="ListBullet"/>
        <w:spacing w:after="60" w:line="269" w:lineRule="auto"/>
        <w:ind w:left="432"/>
      </w:pPr>
      <w:r>
        <w:rPr>
          <w:rFonts w:ascii="Times New Roman" w:hAnsi="Times New Roman" w:eastAsia="Times New Roman"/>
          <w:sz w:val="22"/>
        </w:rPr>
        <w:t>Live heat conditions may not coincide with all visits; vignettes and later heat-season confirmation partly mitigate but do not eliminate this limitation.</w:t>
      </w:r>
    </w:p>
    <w:p>
      <w:pPr>
        <w:pStyle w:val="ListBullet"/>
        <w:spacing w:after="60" w:line="269" w:lineRule="auto"/>
        <w:ind w:left="432"/>
      </w:pPr>
      <w:r>
        <w:rPr>
          <w:rFonts w:ascii="Times New Roman" w:hAnsi="Times New Roman" w:eastAsia="Times New Roman"/>
          <w:sz w:val="22"/>
        </w:rPr>
        <w:t>The study does not collect student interviews in the current design, limiting direct evidence on children’s own perceptions and household consequences.</w:t>
      </w:r>
    </w:p>
    <w:p>
      <w:pPr>
        <w:pStyle w:val="ListBullet"/>
        <w:spacing w:after="60" w:line="269" w:lineRule="auto"/>
        <w:ind w:left="432"/>
      </w:pPr>
      <w:r>
        <w:rPr>
          <w:rFonts w:ascii="Times New Roman" w:hAnsi="Times New Roman" w:eastAsia="Times New Roman"/>
          <w:sz w:val="22"/>
        </w:rPr>
        <w:t>Institutional heat actionability and coherence are analytical constructs, not validated numerical scales.</w:t>
      </w:r>
    </w:p>
    <w:p>
      <w:pPr>
        <w:pStyle w:val="ListBullet"/>
        <w:spacing w:after="60" w:line="269" w:lineRule="auto"/>
        <w:ind w:left="432"/>
      </w:pPr>
      <w:r>
        <w:rPr>
          <w:rFonts w:ascii="Times New Roman" w:hAnsi="Times New Roman" w:eastAsia="Times New Roman"/>
          <w:sz w:val="22"/>
        </w:rPr>
        <w:t>The framework is developed in a specific administrative and climatic setting; transfer to other Indian states requires adaptation and new validation.</w:t>
      </w:r>
    </w:p>
    <w:p>
      <w:pPr>
        <w:pStyle w:val="Heading2"/>
      </w:pPr>
      <w:r>
        <w:t>8.6 Ethics and safeguarding</w:t>
      </w:r>
    </w:p>
    <w:p>
      <w:pPr>
        <w:spacing w:after="100" w:line="283" w:lineRule="auto"/>
      </w:pPr>
      <w:r>
        <w:rPr>
          <w:rFonts w:ascii="Times New Roman" w:hAnsi="Times New Roman" w:eastAsia="Times New Roman"/>
          <w:i w:val="0"/>
          <w:sz w:val="22"/>
        </w:rPr>
        <w:t>Participation will be voluntary with informed consent. Schools and participants will be anonymised. The research evaluates systems and decision processes rather than individual performance. Principal and teacher interviews will be separate, and teacher disagreement will not be disclosed to principals during member checking. No identifiable student health data will be collected. Severe-heat and delayed-guardian vignettes are analytical probes; they do not presume that closure, overnight accommodation or any other high-stakes measure is legally authorised. Any recommendation involving extended child custody would require separate safeguarding, staffing, health, sanitation, security and administrative authority and will not be normalised by this study.</w:t>
      </w:r>
    </w:p>
    <w:p>
      <w:pPr>
        <w:pStyle w:val="Heading1"/>
      </w:pPr>
      <w:r>
        <w:t>9. ONE-MONTH PAPER PATHWAY AND THESIS EXTENSION</w:t>
      </w:r>
    </w:p>
    <w:p>
      <w:pPr>
        <w:pStyle w:val="Heading2"/>
      </w:pPr>
      <w:r>
        <w:t>9.1 A publishable one-month sub-study</w:t>
      </w:r>
    </w:p>
    <w:p>
      <w:pPr>
        <w:spacing w:after="100" w:line="283" w:lineRule="auto"/>
      </w:pPr>
      <w:r>
        <w:rPr>
          <w:rFonts w:ascii="Times New Roman" w:hAnsi="Times New Roman" w:eastAsia="Times New Roman"/>
          <w:i w:val="0"/>
          <w:sz w:val="22"/>
        </w:rPr>
        <w:t>A one-month paper should not attempt to “validate” the entire framework or finalise the SOP. The defensible short paper is a theory-refining policy-enactment study using: (a) the formal policy corpus, (b) four to six information-rich school cases where access is feasible, (c) paired principal–teacher vignette interviews, and (d) a small number of administrative informants. The manuscript would report the initial SHGTF, the main mechanisms that survive or fail empirical testing, and the revised framework.</w:t>
      </w:r>
    </w:p>
    <w:p>
      <w:pPr>
        <w:spacing w:after="100" w:line="283" w:lineRule="auto"/>
      </w:pPr>
      <w:r>
        <w:rPr>
          <w:rFonts w:ascii="Times New Roman" w:hAnsi="Times New Roman" w:eastAsia="Times New Roman"/>
          <w:i w:val="0"/>
          <w:sz w:val="22"/>
        </w:rPr>
        <w:t>If the field period does not coincide with peak Delhi heat, the paper must be framed as retrospective and vignette-based rather than as direct observation of peak-heat behaviour. A later thesis phase can conduct live heat-season confirmation and broader co-design.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D9EAF7"/>
          </w:tcPr>
          <w:p>
            <w:pPr>
              <w:spacing w:after="0"/>
            </w:pPr>
            <w:r/>
            <w:r>
              <w:rPr>
                <w:rFonts w:ascii="Times New Roman" w:hAnsi="Times New Roman" w:eastAsia="Times New Roman"/>
                <w:b/>
                <w:sz w:val="17"/>
              </w:rPr>
              <w:t>Week</w:t>
            </w:r>
          </w:p>
        </w:tc>
        <w:tc>
          <w:tcPr>
            <w:tcW w:type="dxa" w:w="5040"/>
            <w:vAlign w:val="top"/>
            <w:shd w:fill="D9EAF7"/>
          </w:tcPr>
          <w:p>
            <w:pPr>
              <w:spacing w:after="0"/>
            </w:pPr>
            <w:r/>
            <w:r>
              <w:rPr>
                <w:rFonts w:ascii="Times New Roman" w:hAnsi="Times New Roman" w:eastAsia="Times New Roman"/>
                <w:b/>
                <w:sz w:val="17"/>
              </w:rPr>
              <w:t>Priority output</w:t>
            </w:r>
          </w:p>
        </w:tc>
      </w:tr>
      <w:tr>
        <w:tc>
          <w:tcPr>
            <w:tcW w:type="dxa" w:w="5040"/>
            <w:vAlign w:val="top"/>
          </w:tcPr>
          <w:p>
            <w:pPr>
              <w:spacing w:after="0"/>
            </w:pPr>
            <w:r/>
            <w:r>
              <w:rPr>
                <w:rFonts w:ascii="Times New Roman" w:hAnsi="Times New Roman" w:eastAsia="Times New Roman"/>
                <w:b w:val="0"/>
                <w:sz w:val="17"/>
              </w:rPr>
              <w:t>Week 1</w:t>
            </w:r>
          </w:p>
        </w:tc>
        <w:tc>
          <w:tcPr>
            <w:tcW w:type="dxa" w:w="5040"/>
            <w:vAlign w:val="top"/>
          </w:tcPr>
          <w:p>
            <w:pPr>
              <w:spacing w:after="0"/>
            </w:pPr>
            <w:r/>
            <w:r>
              <w:rPr>
                <w:rFonts w:ascii="Times New Roman" w:hAnsi="Times New Roman" w:eastAsia="Times New Roman"/>
                <w:b w:val="0"/>
                <w:sz w:val="17"/>
              </w:rPr>
              <w:t>Lock the formal policy map; finalise RQs; pilot matched vignettes; obtain access/ethics clearance; prepare coding template.</w:t>
            </w:r>
          </w:p>
        </w:tc>
      </w:tr>
      <w:tr>
        <w:tc>
          <w:tcPr>
            <w:tcW w:type="dxa" w:w="5040"/>
            <w:vAlign w:val="top"/>
          </w:tcPr>
          <w:p>
            <w:pPr>
              <w:spacing w:after="0"/>
            </w:pPr>
            <w:r/>
            <w:r>
              <w:rPr>
                <w:rFonts w:ascii="Times New Roman" w:hAnsi="Times New Roman" w:eastAsia="Times New Roman"/>
                <w:b w:val="0"/>
                <w:sz w:val="17"/>
              </w:rPr>
              <w:t>Week 2</w:t>
            </w:r>
          </w:p>
        </w:tc>
        <w:tc>
          <w:tcPr>
            <w:tcW w:type="dxa" w:w="5040"/>
            <w:vAlign w:val="top"/>
          </w:tcPr>
          <w:p>
            <w:pPr>
              <w:spacing w:after="0"/>
            </w:pPr>
            <w:r/>
            <w:r>
              <w:rPr>
                <w:rFonts w:ascii="Times New Roman" w:hAnsi="Times New Roman" w:eastAsia="Times New Roman"/>
                <w:b w:val="0"/>
                <w:sz w:val="17"/>
              </w:rPr>
              <w:t>Conduct paired interviews in first cases; collect school-held documents; begin same-day coding and framework memos.</w:t>
            </w:r>
          </w:p>
        </w:tc>
      </w:tr>
      <w:tr>
        <w:tc>
          <w:tcPr>
            <w:tcW w:type="dxa" w:w="5040"/>
            <w:vAlign w:val="top"/>
          </w:tcPr>
          <w:p>
            <w:pPr>
              <w:spacing w:after="0"/>
            </w:pPr>
            <w:r/>
            <w:r>
              <w:rPr>
                <w:rFonts w:ascii="Times New Roman" w:hAnsi="Times New Roman" w:eastAsia="Times New Roman"/>
                <w:b w:val="0"/>
                <w:sz w:val="17"/>
              </w:rPr>
              <w:t>Week 3</w:t>
            </w:r>
          </w:p>
        </w:tc>
        <w:tc>
          <w:tcPr>
            <w:tcW w:type="dxa" w:w="5040"/>
            <w:vAlign w:val="top"/>
          </w:tcPr>
          <w:p>
            <w:pPr>
              <w:spacing w:after="0"/>
            </w:pPr>
            <w:r/>
            <w:r>
              <w:rPr>
                <w:rFonts w:ascii="Times New Roman" w:hAnsi="Times New Roman" w:eastAsia="Times New Roman"/>
                <w:b w:val="0"/>
                <w:sz w:val="17"/>
              </w:rPr>
              <w:t>Complete remaining interviews; build PPTP matrices; identify C–M–O patterns, negative cases and positive-deviant cases.</w:t>
            </w:r>
          </w:p>
        </w:tc>
      </w:tr>
      <w:tr>
        <w:tc>
          <w:tcPr>
            <w:tcW w:type="dxa" w:w="5040"/>
            <w:vAlign w:val="top"/>
          </w:tcPr>
          <w:p>
            <w:pPr>
              <w:spacing w:after="0"/>
            </w:pPr>
            <w:r/>
            <w:r>
              <w:rPr>
                <w:rFonts w:ascii="Times New Roman" w:hAnsi="Times New Roman" w:eastAsia="Times New Roman"/>
                <w:b w:val="0"/>
                <w:sz w:val="17"/>
              </w:rPr>
              <w:t>Week 4</w:t>
            </w:r>
          </w:p>
        </w:tc>
        <w:tc>
          <w:tcPr>
            <w:tcW w:type="dxa" w:w="5040"/>
            <w:vAlign w:val="top"/>
          </w:tcPr>
          <w:p>
            <w:pPr>
              <w:spacing w:after="0"/>
            </w:pPr>
            <w:r/>
            <w:r>
              <w:rPr>
                <w:rFonts w:ascii="Times New Roman" w:hAnsi="Times New Roman" w:eastAsia="Times New Roman"/>
                <w:b w:val="0"/>
                <w:sz w:val="17"/>
              </w:rPr>
              <w:t>Revise SHGTF; write one focused manuscript: problem → literature debate → framework → methods → mechanisms → revised framework → bounded implications.</w:t>
            </w:r>
          </w:p>
        </w:tc>
      </w:tr>
    </w:tbl>
    <w:p>
      <w:pPr>
        <w:pStyle w:val="Heading2"/>
      </w:pPr>
      <w:r>
        <w:t>9.2 Thesis extension</w:t>
      </w:r>
    </w:p>
    <w:p>
      <w:pPr>
        <w:spacing w:after="100" w:line="283" w:lineRule="auto"/>
      </w:pPr>
      <w:r>
        <w:rPr>
          <w:rFonts w:ascii="Times New Roman" w:hAnsi="Times New Roman" w:eastAsia="Times New Roman"/>
          <w:i w:val="0"/>
          <w:sz w:val="22"/>
        </w:rPr>
        <w:t>The thesis will extend the paper to approximately 8–10 schools, deepen official interviews, add structured observation and heat-season confirmation, and then use the evidence to develop a West Delhi school heat preparedness-to-action beta protocol. The conceptual framework and practical protocol will remain separate: SHGTF explains mechanisms; the beta protocol is a design output derived from those mechanisms.</w:t>
      </w:r>
    </w:p>
    <w:p>
      <w:pPr>
        <w:pStyle w:val="Heading1"/>
      </w:pPr>
      <w:r>
        <w:t>REFERENCES</w:t>
      </w:r>
    </w:p>
    <w:p>
      <w:pPr>
        <w:spacing w:after="80" w:line="252" w:lineRule="auto"/>
        <w:ind w:left="490" w:hanging="490"/>
      </w:pPr>
      <w:r>
        <w:rPr>
          <w:rFonts w:ascii="Times New Roman" w:hAnsi="Times New Roman" w:eastAsia="Times New Roman"/>
          <w:sz w:val="20"/>
        </w:rPr>
        <w:t xml:space="preserve">Bharti, P., Jaiswal, V., &amp; Subbiah, N. (2025). Heat wave impact on children: Addressing vulnerability and implementing adaptation strategies. </w:t>
      </w:r>
      <w:r>
        <w:rPr>
          <w:rFonts w:ascii="Times New Roman" w:hAnsi="Times New Roman" w:eastAsia="Times New Roman"/>
          <w:i/>
          <w:sz w:val="20"/>
        </w:rPr>
        <w:t>Journal of Climate Change</w:t>
      </w:r>
      <w:r>
        <w:rPr>
          <w:rFonts w:ascii="Times New Roman" w:hAnsi="Times New Roman" w:eastAsia="Times New Roman"/>
          <w:sz w:val="20"/>
        </w:rPr>
        <w:t xml:space="preserve">, </w:t>
      </w:r>
      <w:r>
        <w:rPr>
          <w:rFonts w:ascii="Times New Roman" w:hAnsi="Times New Roman" w:eastAsia="Times New Roman"/>
          <w:i/>
          <w:sz w:val="20"/>
        </w:rPr>
        <w:t>11</w:t>
      </w:r>
      <w:r>
        <w:rPr>
          <w:rFonts w:ascii="Times New Roman" w:hAnsi="Times New Roman" w:eastAsia="Times New Roman"/>
          <w:sz w:val="20"/>
        </w:rPr>
        <w:t>(2)</w:t>
      </w:r>
      <w:r>
        <w:rPr>
          <w:rFonts w:ascii="Times New Roman" w:hAnsi="Times New Roman" w:eastAsia="Times New Roman"/>
          <w:sz w:val="20"/>
        </w:rPr>
        <w:t>, 265–273. https://doi.org/10.70917/jcc-2025-018</w:t>
      </w:r>
    </w:p>
    <w:p>
      <w:pPr>
        <w:spacing w:after="80" w:line="252" w:lineRule="auto"/>
        <w:ind w:left="490" w:hanging="490"/>
      </w:pPr>
      <w:r>
        <w:rPr>
          <w:rFonts w:ascii="Times New Roman" w:hAnsi="Times New Roman" w:eastAsia="Times New Roman"/>
          <w:sz w:val="20"/>
        </w:rPr>
        <w:t xml:space="preserve">Braun, A., Ball, S. J., Maguire, M., &amp; Hoskins, K. (2011). Taking context seriously: Towards explaining policy enactments in the secondary school. </w:t>
      </w:r>
      <w:r>
        <w:rPr>
          <w:rFonts w:ascii="Times New Roman" w:hAnsi="Times New Roman" w:eastAsia="Times New Roman"/>
          <w:i/>
          <w:sz w:val="20"/>
        </w:rPr>
        <w:t>Discourse: Studies in the Cultural Politics of Education</w:t>
      </w:r>
      <w:r>
        <w:rPr>
          <w:rFonts w:ascii="Times New Roman" w:hAnsi="Times New Roman" w:eastAsia="Times New Roman"/>
          <w:sz w:val="20"/>
        </w:rPr>
        <w:t xml:space="preserve">, </w:t>
      </w:r>
      <w:r>
        <w:rPr>
          <w:rFonts w:ascii="Times New Roman" w:hAnsi="Times New Roman" w:eastAsia="Times New Roman"/>
          <w:i/>
          <w:sz w:val="20"/>
        </w:rPr>
        <w:t>32</w:t>
      </w:r>
      <w:r>
        <w:rPr>
          <w:rFonts w:ascii="Times New Roman" w:hAnsi="Times New Roman" w:eastAsia="Times New Roman"/>
          <w:sz w:val="20"/>
        </w:rPr>
        <w:t>(4)</w:t>
      </w:r>
      <w:r>
        <w:rPr>
          <w:rFonts w:ascii="Times New Roman" w:hAnsi="Times New Roman" w:eastAsia="Times New Roman"/>
          <w:sz w:val="20"/>
        </w:rPr>
        <w:t>, 585–596. https://doi.org/10.1080/01596306.2011.601555</w:t>
      </w:r>
    </w:p>
    <w:p>
      <w:pPr>
        <w:spacing w:after="80" w:line="252" w:lineRule="auto"/>
        <w:ind w:left="490" w:hanging="490"/>
      </w:pPr>
      <w:r>
        <w:rPr>
          <w:rFonts w:ascii="Times New Roman" w:hAnsi="Times New Roman" w:eastAsia="Times New Roman"/>
          <w:sz w:val="20"/>
        </w:rPr>
        <w:t xml:space="preserve">Dasgupta, R., Dasgupta, P., Dayal, V., Mishra, A., Murali, A., Sharma, G., &amp; Pany, P. (2025). Heat action plans in eight Indian cities: Knowledge gaps &amp; opportunities for intersectoral heat governance. </w:t>
      </w:r>
      <w:r>
        <w:rPr>
          <w:rFonts w:ascii="Times New Roman" w:hAnsi="Times New Roman" w:eastAsia="Times New Roman"/>
          <w:i/>
          <w:sz w:val="20"/>
        </w:rPr>
        <w:t>Indian Journal of Medical Research</w:t>
      </w:r>
      <w:r>
        <w:rPr>
          <w:rFonts w:ascii="Times New Roman" w:hAnsi="Times New Roman" w:eastAsia="Times New Roman"/>
          <w:sz w:val="20"/>
        </w:rPr>
        <w:t xml:space="preserve">, </w:t>
      </w:r>
      <w:r>
        <w:rPr>
          <w:rFonts w:ascii="Times New Roman" w:hAnsi="Times New Roman" w:eastAsia="Times New Roman"/>
          <w:i/>
          <w:sz w:val="20"/>
        </w:rPr>
        <w:t>162</w:t>
      </w:r>
      <w:r>
        <w:rPr>
          <w:rFonts w:ascii="Times New Roman" w:hAnsi="Times New Roman" w:eastAsia="Times New Roman"/>
          <w:sz w:val="20"/>
        </w:rPr>
        <w:t>(3)</w:t>
      </w:r>
      <w:r>
        <w:rPr>
          <w:rFonts w:ascii="Times New Roman" w:hAnsi="Times New Roman" w:eastAsia="Times New Roman"/>
          <w:sz w:val="20"/>
        </w:rPr>
        <w:t>, 330–341. https://doi.org/10.25259/IJMR_1019_2025</w:t>
      </w:r>
    </w:p>
    <w:p>
      <w:pPr>
        <w:spacing w:after="80" w:line="252" w:lineRule="auto"/>
        <w:ind w:left="490" w:hanging="490"/>
      </w:pPr>
      <w:r>
        <w:rPr>
          <w:rFonts w:ascii="Times New Roman" w:hAnsi="Times New Roman" w:eastAsia="Times New Roman"/>
          <w:sz w:val="20"/>
        </w:rPr>
        <w:t>Davidovitz, M., &amp; Schechter, C. (2024). Agentic leaders: School principals as street-level managers. Management in Education. Advance online publication. https://doi.org/10.1177/08920206241269428</w:t>
      </w:r>
    </w:p>
    <w:p>
      <w:pPr>
        <w:spacing w:after="80" w:line="252" w:lineRule="auto"/>
        <w:ind w:left="490" w:hanging="490"/>
      </w:pPr>
      <w:r>
        <w:rPr>
          <w:rFonts w:ascii="Times New Roman" w:hAnsi="Times New Roman" w:eastAsia="Times New Roman"/>
          <w:sz w:val="20"/>
        </w:rPr>
        <w:t>Delhi Disaster Management Authority. (2025). Heat Wave Action Plan for Delhi 2025. Government of NCT of Delhi. https://ddma.delhi.gov.in/sites/default/files/ddma/generic_multiple_files/hap_delhi_21.4.25_3.pdf</w:t>
      </w:r>
    </w:p>
    <w:p>
      <w:pPr>
        <w:spacing w:after="80" w:line="252" w:lineRule="auto"/>
        <w:ind w:left="490" w:hanging="490"/>
      </w:pPr>
      <w:r>
        <w:rPr>
          <w:rFonts w:ascii="Times New Roman" w:hAnsi="Times New Roman" w:eastAsia="Times New Roman"/>
          <w:sz w:val="20"/>
        </w:rPr>
        <w:t>Dunlop, L., Turkenburg-Van Diepen, M., &amp; Hudson, P. (2026). Extreme heat adaptation in UK schools: Education policy and practice. Journal of Education for Sustainable Development. Advance online publication. https://doi.org/10.1177/09734082261423612</w:t>
      </w:r>
    </w:p>
    <w:p>
      <w:pPr>
        <w:spacing w:after="80" w:line="252" w:lineRule="auto"/>
        <w:ind w:left="490" w:hanging="490"/>
      </w:pPr>
      <w:r>
        <w:rPr>
          <w:rFonts w:ascii="Times New Roman" w:hAnsi="Times New Roman" w:eastAsia="Times New Roman"/>
          <w:sz w:val="20"/>
        </w:rPr>
        <w:t xml:space="preserve">Gale, N. K., Heath, G., Cameron, E., Rashid, S., &amp; Redwood, S. (2013). Using the Framework Method for the analysis of qualitative data in multi-disciplinary health research. </w:t>
      </w:r>
      <w:r>
        <w:rPr>
          <w:rFonts w:ascii="Times New Roman" w:hAnsi="Times New Roman" w:eastAsia="Times New Roman"/>
          <w:i/>
          <w:sz w:val="20"/>
        </w:rPr>
        <w:t>BMC Medical Research Methodology</w:t>
      </w:r>
      <w:r>
        <w:rPr>
          <w:rFonts w:ascii="Times New Roman" w:hAnsi="Times New Roman" w:eastAsia="Times New Roman"/>
          <w:sz w:val="20"/>
        </w:rPr>
        <w:t xml:space="preserve">, </w:t>
      </w:r>
      <w:r>
        <w:rPr>
          <w:rFonts w:ascii="Times New Roman" w:hAnsi="Times New Roman" w:eastAsia="Times New Roman"/>
          <w:i/>
          <w:sz w:val="20"/>
        </w:rPr>
        <w:t>13</w:t>
      </w:r>
      <w:r>
        <w:rPr>
          <w:rFonts w:ascii="Times New Roman" w:hAnsi="Times New Roman" w:eastAsia="Times New Roman"/>
          <w:sz w:val="20"/>
        </w:rPr>
        <w:t>, 117. https://doi.org/10.1186/1471-2288-13-117</w:t>
      </w:r>
    </w:p>
    <w:p>
      <w:pPr>
        <w:spacing w:after="80" w:line="252" w:lineRule="auto"/>
        <w:ind w:left="490" w:hanging="490"/>
      </w:pPr>
      <w:r>
        <w:rPr>
          <w:rFonts w:ascii="Times New Roman" w:hAnsi="Times New Roman" w:eastAsia="Times New Roman"/>
          <w:sz w:val="20"/>
        </w:rPr>
        <w:t xml:space="preserve">Hay, A. (2025). What may be: Policy enactment in education, a new conceptual framework with actor-network theory. </w:t>
      </w:r>
      <w:r>
        <w:rPr>
          <w:rFonts w:ascii="Times New Roman" w:hAnsi="Times New Roman" w:eastAsia="Times New Roman"/>
          <w:i/>
          <w:sz w:val="20"/>
        </w:rPr>
        <w:t>Journal of Education Policy</w:t>
      </w:r>
      <w:r>
        <w:rPr>
          <w:rFonts w:ascii="Times New Roman" w:hAnsi="Times New Roman" w:eastAsia="Times New Roman"/>
          <w:sz w:val="20"/>
        </w:rPr>
        <w:t xml:space="preserve">, </w:t>
      </w:r>
      <w:r>
        <w:rPr>
          <w:rFonts w:ascii="Times New Roman" w:hAnsi="Times New Roman" w:eastAsia="Times New Roman"/>
          <w:i/>
          <w:sz w:val="20"/>
        </w:rPr>
        <w:t>40</w:t>
      </w:r>
      <w:r>
        <w:rPr>
          <w:rFonts w:ascii="Times New Roman" w:hAnsi="Times New Roman" w:eastAsia="Times New Roman"/>
          <w:sz w:val="20"/>
        </w:rPr>
        <w:t>(2)</w:t>
      </w:r>
      <w:r>
        <w:rPr>
          <w:rFonts w:ascii="Times New Roman" w:hAnsi="Times New Roman" w:eastAsia="Times New Roman"/>
          <w:sz w:val="20"/>
        </w:rPr>
        <w:t>, 179–198. https://doi.org/10.1080/02680939.2024.2411989</w:t>
      </w:r>
    </w:p>
    <w:p>
      <w:pPr>
        <w:spacing w:after="80" w:line="252" w:lineRule="auto"/>
        <w:ind w:left="490" w:hanging="490"/>
      </w:pPr>
      <w:r>
        <w:rPr>
          <w:rFonts w:ascii="Times New Roman" w:hAnsi="Times New Roman" w:eastAsia="Times New Roman"/>
          <w:sz w:val="20"/>
        </w:rPr>
        <w:t xml:space="preserve">Heidenreich, A., &amp; Thieken, A. H. (2024). Individual heat adaptation: Analyzing risk communication, warnings, heat risk perception, and protective behavior in three German cities. </w:t>
      </w:r>
      <w:r>
        <w:rPr>
          <w:rFonts w:ascii="Times New Roman" w:hAnsi="Times New Roman" w:eastAsia="Times New Roman"/>
          <w:i/>
          <w:sz w:val="20"/>
        </w:rPr>
        <w:t>Risk Analysis</w:t>
      </w:r>
      <w:r>
        <w:rPr>
          <w:rFonts w:ascii="Times New Roman" w:hAnsi="Times New Roman" w:eastAsia="Times New Roman"/>
          <w:sz w:val="20"/>
        </w:rPr>
        <w:t xml:space="preserve">, </w:t>
      </w:r>
      <w:r>
        <w:rPr>
          <w:rFonts w:ascii="Times New Roman" w:hAnsi="Times New Roman" w:eastAsia="Times New Roman"/>
          <w:i/>
          <w:sz w:val="20"/>
        </w:rPr>
        <w:t>44</w:t>
      </w:r>
      <w:r>
        <w:rPr>
          <w:rFonts w:ascii="Times New Roman" w:hAnsi="Times New Roman" w:eastAsia="Times New Roman"/>
          <w:sz w:val="20"/>
        </w:rPr>
        <w:t>(8)</w:t>
      </w:r>
      <w:r>
        <w:rPr>
          <w:rFonts w:ascii="Times New Roman" w:hAnsi="Times New Roman" w:eastAsia="Times New Roman"/>
          <w:sz w:val="20"/>
        </w:rPr>
        <w:t>, 1788–1808. https://doi.org/10.1111/risa.14278</w:t>
      </w:r>
    </w:p>
    <w:p>
      <w:pPr>
        <w:spacing w:after="80" w:line="252" w:lineRule="auto"/>
        <w:ind w:left="490" w:hanging="490"/>
      </w:pPr>
      <w:r>
        <w:rPr>
          <w:rFonts w:ascii="Times New Roman" w:hAnsi="Times New Roman" w:eastAsia="Times New Roman"/>
          <w:sz w:val="20"/>
        </w:rPr>
        <w:t xml:space="preserve">Hess, J. J., Errett, N. A., McGregor, G., Busch Isaksen, T., Wettstein, Z. S., Wheat, S. K., &amp; Ebi, K. L. (2023). Public health preparedness for extreme heat events. </w:t>
      </w:r>
      <w:r>
        <w:rPr>
          <w:rFonts w:ascii="Times New Roman" w:hAnsi="Times New Roman" w:eastAsia="Times New Roman"/>
          <w:i/>
          <w:sz w:val="20"/>
        </w:rPr>
        <w:t>Annual Review of Public Health</w:t>
      </w:r>
      <w:r>
        <w:rPr>
          <w:rFonts w:ascii="Times New Roman" w:hAnsi="Times New Roman" w:eastAsia="Times New Roman"/>
          <w:sz w:val="20"/>
        </w:rPr>
        <w:t xml:space="preserve">, </w:t>
      </w:r>
      <w:r>
        <w:rPr>
          <w:rFonts w:ascii="Times New Roman" w:hAnsi="Times New Roman" w:eastAsia="Times New Roman"/>
          <w:i/>
          <w:sz w:val="20"/>
        </w:rPr>
        <w:t>44</w:t>
      </w:r>
      <w:r>
        <w:rPr>
          <w:rFonts w:ascii="Times New Roman" w:hAnsi="Times New Roman" w:eastAsia="Times New Roman"/>
          <w:sz w:val="20"/>
        </w:rPr>
        <w:t>, 301–321. https://doi.org/10.1146/annurev-publhealth-071421-025508</w:t>
      </w:r>
    </w:p>
    <w:p>
      <w:pPr>
        <w:spacing w:after="80" w:line="252" w:lineRule="auto"/>
        <w:ind w:left="490" w:hanging="490"/>
      </w:pPr>
      <w:r>
        <w:rPr>
          <w:rFonts w:ascii="Times New Roman" w:hAnsi="Times New Roman" w:eastAsia="Times New Roman"/>
          <w:sz w:val="20"/>
        </w:rPr>
        <w:t xml:space="preserve">Higuera Roa, O., Walz, Y., &amp; Nehren, U. (2025). How to avoid the risk of maladaptation? From a conceptual understanding to a systematic approach for analyzing potential adverse effects in adaptation actions. </w:t>
      </w:r>
      <w:r>
        <w:rPr>
          <w:rFonts w:ascii="Times New Roman" w:hAnsi="Times New Roman" w:eastAsia="Times New Roman"/>
          <w:i/>
          <w:sz w:val="20"/>
        </w:rPr>
        <w:t>Mitigation and Adaptation Strategies for Global Change</w:t>
      </w:r>
      <w:r>
        <w:rPr>
          <w:rFonts w:ascii="Times New Roman" w:hAnsi="Times New Roman" w:eastAsia="Times New Roman"/>
          <w:sz w:val="20"/>
        </w:rPr>
        <w:t xml:space="preserve">, </w:t>
      </w:r>
      <w:r>
        <w:rPr>
          <w:rFonts w:ascii="Times New Roman" w:hAnsi="Times New Roman" w:eastAsia="Times New Roman"/>
          <w:i/>
          <w:sz w:val="20"/>
        </w:rPr>
        <w:t>30</w:t>
      </w:r>
      <w:r>
        <w:rPr>
          <w:rFonts w:ascii="Times New Roman" w:hAnsi="Times New Roman" w:eastAsia="Times New Roman"/>
          <w:sz w:val="20"/>
        </w:rPr>
        <w:t>, Article 27. https://doi.org/10.1007/s11027-025-10217-w</w:t>
      </w:r>
    </w:p>
    <w:p>
      <w:pPr>
        <w:spacing w:after="80" w:line="252" w:lineRule="auto"/>
        <w:ind w:left="490" w:hanging="490"/>
      </w:pPr>
      <w:r>
        <w:rPr>
          <w:rFonts w:ascii="Times New Roman" w:hAnsi="Times New Roman" w:eastAsia="Times New Roman"/>
          <w:sz w:val="20"/>
        </w:rPr>
        <w:t xml:space="preserve">Holst, J. (2023). Towards coherence on sustainability in education: A systematic review of Whole Institution Approaches. </w:t>
      </w:r>
      <w:r>
        <w:rPr>
          <w:rFonts w:ascii="Times New Roman" w:hAnsi="Times New Roman" w:eastAsia="Times New Roman"/>
          <w:i/>
          <w:sz w:val="20"/>
        </w:rPr>
        <w:t>Sustainability Science</w:t>
      </w:r>
      <w:r>
        <w:rPr>
          <w:rFonts w:ascii="Times New Roman" w:hAnsi="Times New Roman" w:eastAsia="Times New Roman"/>
          <w:sz w:val="20"/>
        </w:rPr>
        <w:t xml:space="preserve">, </w:t>
      </w:r>
      <w:r>
        <w:rPr>
          <w:rFonts w:ascii="Times New Roman" w:hAnsi="Times New Roman" w:eastAsia="Times New Roman"/>
          <w:i/>
          <w:sz w:val="20"/>
        </w:rPr>
        <w:t>18</w:t>
      </w:r>
      <w:r>
        <w:rPr>
          <w:rFonts w:ascii="Times New Roman" w:hAnsi="Times New Roman" w:eastAsia="Times New Roman"/>
          <w:sz w:val="20"/>
        </w:rPr>
        <w:t>, 1015–1030. https://doi.org/10.1007/s11625-022-01226-8</w:t>
      </w:r>
    </w:p>
    <w:p>
      <w:pPr>
        <w:spacing w:after="80" w:line="252" w:lineRule="auto"/>
        <w:ind w:left="490" w:hanging="490"/>
      </w:pPr>
      <w:r>
        <w:rPr>
          <w:rFonts w:ascii="Times New Roman" w:hAnsi="Times New Roman" w:eastAsia="Times New Roman"/>
          <w:sz w:val="20"/>
        </w:rPr>
        <w:t xml:space="preserve">Hudson, P., Dunlop, L., &amp; Turkenburg-Van Diepen, M. (2026). Extreme heat risk perceptions and readiness in schools. </w:t>
      </w:r>
      <w:r>
        <w:rPr>
          <w:rFonts w:ascii="Times New Roman" w:hAnsi="Times New Roman" w:eastAsia="Times New Roman"/>
          <w:i/>
          <w:sz w:val="20"/>
        </w:rPr>
        <w:t>International Journal of Disaster Risk Reduction</w:t>
      </w:r>
      <w:r>
        <w:rPr>
          <w:rFonts w:ascii="Times New Roman" w:hAnsi="Times New Roman" w:eastAsia="Times New Roman"/>
          <w:sz w:val="20"/>
        </w:rPr>
        <w:t xml:space="preserve">, </w:t>
      </w:r>
      <w:r>
        <w:rPr>
          <w:rFonts w:ascii="Times New Roman" w:hAnsi="Times New Roman" w:eastAsia="Times New Roman"/>
          <w:i/>
          <w:sz w:val="20"/>
        </w:rPr>
        <w:t>138</w:t>
      </w:r>
      <w:r>
        <w:rPr>
          <w:rFonts w:ascii="Times New Roman" w:hAnsi="Times New Roman" w:eastAsia="Times New Roman"/>
          <w:sz w:val="20"/>
        </w:rPr>
        <w:t>, 106109. https://doi.org/10.1016/j.ijdrr.2026.106109</w:t>
      </w:r>
    </w:p>
    <w:p>
      <w:pPr>
        <w:spacing w:after="80" w:line="252" w:lineRule="auto"/>
        <w:ind w:left="490" w:hanging="490"/>
      </w:pPr>
      <w:r>
        <w:rPr>
          <w:rFonts w:ascii="Times New Roman" w:hAnsi="Times New Roman" w:eastAsia="Times New Roman"/>
          <w:sz w:val="20"/>
        </w:rPr>
        <w:t>India Meteorological Department. (2026). Heat wave guidance. Ministry of Earth Sciences, Government of India. https://mausam.imd.gov.in/responsive/heatwave_guidance.php</w:t>
      </w:r>
    </w:p>
    <w:p>
      <w:pPr>
        <w:spacing w:after="80" w:line="252" w:lineRule="auto"/>
        <w:ind w:left="490" w:hanging="490"/>
      </w:pPr>
      <w:r>
        <w:rPr>
          <w:rFonts w:ascii="Times New Roman" w:hAnsi="Times New Roman" w:eastAsia="Times New Roman"/>
          <w:sz w:val="20"/>
        </w:rPr>
        <w:t xml:space="preserve">Kacker, K., Srivastava, P., &amp; Mukherjee, M. (2024). Heat stress risk at an intra-urban level: A case study of Delhi, India. </w:t>
      </w:r>
      <w:r>
        <w:rPr>
          <w:rFonts w:ascii="Times New Roman" w:hAnsi="Times New Roman" w:eastAsia="Times New Roman"/>
          <w:i/>
          <w:sz w:val="20"/>
        </w:rPr>
        <w:t>Building and Environment</w:t>
      </w:r>
      <w:r>
        <w:rPr>
          <w:rFonts w:ascii="Times New Roman" w:hAnsi="Times New Roman" w:eastAsia="Times New Roman"/>
          <w:sz w:val="20"/>
        </w:rPr>
        <w:t xml:space="preserve">, </w:t>
      </w:r>
      <w:r>
        <w:rPr>
          <w:rFonts w:ascii="Times New Roman" w:hAnsi="Times New Roman" w:eastAsia="Times New Roman"/>
          <w:i/>
          <w:sz w:val="20"/>
        </w:rPr>
        <w:t>264</w:t>
      </w:r>
      <w:r>
        <w:rPr>
          <w:rFonts w:ascii="Times New Roman" w:hAnsi="Times New Roman" w:eastAsia="Times New Roman"/>
          <w:sz w:val="20"/>
        </w:rPr>
        <w:t>, 111897. https://doi.org/10.1016/j.buildenv.2024.111897</w:t>
      </w:r>
    </w:p>
    <w:p>
      <w:pPr>
        <w:spacing w:after="80" w:line="252" w:lineRule="auto"/>
        <w:ind w:left="490" w:hanging="490"/>
      </w:pPr>
      <w:r>
        <w:rPr>
          <w:rFonts w:ascii="Times New Roman" w:hAnsi="Times New Roman" w:eastAsia="Times New Roman"/>
          <w:sz w:val="20"/>
        </w:rPr>
        <w:t xml:space="preserve">Khandekar, A., Cross, J., &amp; Maringanti, A. (2024). Scale and modularity in thermal governance: The replication of India’s heat action plans. </w:t>
      </w:r>
      <w:r>
        <w:rPr>
          <w:rFonts w:ascii="Times New Roman" w:hAnsi="Times New Roman" w:eastAsia="Times New Roman"/>
          <w:i/>
          <w:sz w:val="20"/>
        </w:rPr>
        <w:t>Urban Studies</w:t>
      </w:r>
      <w:r>
        <w:rPr>
          <w:rFonts w:ascii="Times New Roman" w:hAnsi="Times New Roman" w:eastAsia="Times New Roman"/>
          <w:sz w:val="20"/>
        </w:rPr>
        <w:t xml:space="preserve">, </w:t>
      </w:r>
      <w:r>
        <w:rPr>
          <w:rFonts w:ascii="Times New Roman" w:hAnsi="Times New Roman" w:eastAsia="Times New Roman"/>
          <w:i/>
          <w:sz w:val="20"/>
        </w:rPr>
        <w:t>61</w:t>
      </w:r>
      <w:r>
        <w:rPr>
          <w:rFonts w:ascii="Times New Roman" w:hAnsi="Times New Roman" w:eastAsia="Times New Roman"/>
          <w:sz w:val="20"/>
        </w:rPr>
        <w:t>(15)</w:t>
      </w:r>
      <w:r>
        <w:rPr>
          <w:rFonts w:ascii="Times New Roman" w:hAnsi="Times New Roman" w:eastAsia="Times New Roman"/>
          <w:sz w:val="20"/>
        </w:rPr>
        <w:t>, 2868–2886. https://doi.org/10.1177/00420980231195193</w:t>
      </w:r>
    </w:p>
    <w:p>
      <w:pPr>
        <w:spacing w:after="80" w:line="252" w:lineRule="auto"/>
        <w:ind w:left="490" w:hanging="490"/>
      </w:pPr>
      <w:r>
        <w:rPr>
          <w:rFonts w:ascii="Times New Roman" w:hAnsi="Times New Roman" w:eastAsia="Times New Roman"/>
          <w:sz w:val="20"/>
        </w:rPr>
        <w:t xml:space="preserve">Kotharkar, R., &amp; Ghosh, A. (2022). Progress in extreme heat management and warning systems: A systematic review of heat-health action plans (1995–2020). </w:t>
      </w:r>
      <w:r>
        <w:rPr>
          <w:rFonts w:ascii="Times New Roman" w:hAnsi="Times New Roman" w:eastAsia="Times New Roman"/>
          <w:i/>
          <w:sz w:val="20"/>
        </w:rPr>
        <w:t>Sustainable Cities and Society</w:t>
      </w:r>
      <w:r>
        <w:rPr>
          <w:rFonts w:ascii="Times New Roman" w:hAnsi="Times New Roman" w:eastAsia="Times New Roman"/>
          <w:sz w:val="20"/>
        </w:rPr>
        <w:t xml:space="preserve">, </w:t>
      </w:r>
      <w:r>
        <w:rPr>
          <w:rFonts w:ascii="Times New Roman" w:hAnsi="Times New Roman" w:eastAsia="Times New Roman"/>
          <w:i/>
          <w:sz w:val="20"/>
        </w:rPr>
        <w:t>76</w:t>
      </w:r>
      <w:r>
        <w:rPr>
          <w:rFonts w:ascii="Times New Roman" w:hAnsi="Times New Roman" w:eastAsia="Times New Roman"/>
          <w:sz w:val="20"/>
        </w:rPr>
        <w:t>, 103487. https://doi.org/10.1016/j.scs.2021.103487</w:t>
      </w:r>
    </w:p>
    <w:p>
      <w:pPr>
        <w:spacing w:after="80" w:line="252" w:lineRule="auto"/>
        <w:ind w:left="490" w:hanging="490"/>
      </w:pPr>
      <w:r>
        <w:rPr>
          <w:rFonts w:ascii="Times New Roman" w:hAnsi="Times New Roman" w:eastAsia="Times New Roman"/>
          <w:sz w:val="20"/>
        </w:rPr>
        <w:t xml:space="preserve">Lala, B., &amp; Hagishima, A. (2023). Impact of escalating heat waves on students’ well-being and overall health: A survey of primary school teachers. </w:t>
      </w:r>
      <w:r>
        <w:rPr>
          <w:rFonts w:ascii="Times New Roman" w:hAnsi="Times New Roman" w:eastAsia="Times New Roman"/>
          <w:i/>
          <w:sz w:val="20"/>
        </w:rPr>
        <w:t>Climate</w:t>
      </w:r>
      <w:r>
        <w:rPr>
          <w:rFonts w:ascii="Times New Roman" w:hAnsi="Times New Roman" w:eastAsia="Times New Roman"/>
          <w:sz w:val="20"/>
        </w:rPr>
        <w:t xml:space="preserve">, </w:t>
      </w:r>
      <w:r>
        <w:rPr>
          <w:rFonts w:ascii="Times New Roman" w:hAnsi="Times New Roman" w:eastAsia="Times New Roman"/>
          <w:i/>
          <w:sz w:val="20"/>
        </w:rPr>
        <w:t>11</w:t>
      </w:r>
      <w:r>
        <w:rPr>
          <w:rFonts w:ascii="Times New Roman" w:hAnsi="Times New Roman" w:eastAsia="Times New Roman"/>
          <w:sz w:val="20"/>
        </w:rPr>
        <w:t>(6)</w:t>
      </w:r>
      <w:r>
        <w:rPr>
          <w:rFonts w:ascii="Times New Roman" w:hAnsi="Times New Roman" w:eastAsia="Times New Roman"/>
          <w:sz w:val="20"/>
        </w:rPr>
        <w:t>, 126. https://doi.org/10.3390/cli11060126</w:t>
      </w:r>
    </w:p>
    <w:p>
      <w:pPr>
        <w:spacing w:after="80" w:line="252" w:lineRule="auto"/>
        <w:ind w:left="490" w:hanging="490"/>
      </w:pPr>
      <w:r>
        <w:rPr>
          <w:rFonts w:ascii="Times New Roman" w:hAnsi="Times New Roman" w:eastAsia="Times New Roman"/>
          <w:sz w:val="20"/>
        </w:rPr>
        <w:t>Lipsky, M. (2010). Street-level bureaucracy: Dilemmas of the individual in public services (30th anniversary expanded ed.). Russell Sage Foundation.</w:t>
      </w:r>
    </w:p>
    <w:p>
      <w:pPr>
        <w:spacing w:after="80" w:line="252" w:lineRule="auto"/>
        <w:ind w:left="490" w:hanging="490"/>
      </w:pPr>
      <w:r>
        <w:rPr>
          <w:rFonts w:ascii="Times New Roman" w:hAnsi="Times New Roman" w:eastAsia="Times New Roman"/>
          <w:sz w:val="20"/>
        </w:rPr>
        <w:t xml:space="preserve">Malterud, K., Siersma, V. D., &amp; Guassora, A. D. (2016). Sample size in qualitative interview studies: Guided by information power. </w:t>
      </w:r>
      <w:r>
        <w:rPr>
          <w:rFonts w:ascii="Times New Roman" w:hAnsi="Times New Roman" w:eastAsia="Times New Roman"/>
          <w:i/>
          <w:sz w:val="20"/>
        </w:rPr>
        <w:t>Qualitative Health Research</w:t>
      </w:r>
      <w:r>
        <w:rPr>
          <w:rFonts w:ascii="Times New Roman" w:hAnsi="Times New Roman" w:eastAsia="Times New Roman"/>
          <w:sz w:val="20"/>
        </w:rPr>
        <w:t xml:space="preserve">, </w:t>
      </w:r>
      <w:r>
        <w:rPr>
          <w:rFonts w:ascii="Times New Roman" w:hAnsi="Times New Roman" w:eastAsia="Times New Roman"/>
          <w:i/>
          <w:sz w:val="20"/>
        </w:rPr>
        <w:t>26</w:t>
      </w:r>
      <w:r>
        <w:rPr>
          <w:rFonts w:ascii="Times New Roman" w:hAnsi="Times New Roman" w:eastAsia="Times New Roman"/>
          <w:sz w:val="20"/>
        </w:rPr>
        <w:t>(13)</w:t>
      </w:r>
      <w:r>
        <w:rPr>
          <w:rFonts w:ascii="Times New Roman" w:hAnsi="Times New Roman" w:eastAsia="Times New Roman"/>
          <w:sz w:val="20"/>
        </w:rPr>
        <w:t>, 1753–1760. https://doi.org/10.1177/1049732315617444</w:t>
      </w:r>
    </w:p>
    <w:p>
      <w:pPr>
        <w:spacing w:after="80" w:line="252" w:lineRule="auto"/>
        <w:ind w:left="490" w:hanging="490"/>
      </w:pPr>
      <w:r>
        <w:rPr>
          <w:rFonts w:ascii="Times New Roman" w:hAnsi="Times New Roman" w:eastAsia="Times New Roman"/>
          <w:sz w:val="20"/>
        </w:rPr>
        <w:t xml:space="preserve">Manzano, A. (2016). The craft of interviewing in realist evaluation. </w:t>
      </w:r>
      <w:r>
        <w:rPr>
          <w:rFonts w:ascii="Times New Roman" w:hAnsi="Times New Roman" w:eastAsia="Times New Roman"/>
          <w:i/>
          <w:sz w:val="20"/>
        </w:rPr>
        <w:t>Evaluation</w:t>
      </w:r>
      <w:r>
        <w:rPr>
          <w:rFonts w:ascii="Times New Roman" w:hAnsi="Times New Roman" w:eastAsia="Times New Roman"/>
          <w:sz w:val="20"/>
        </w:rPr>
        <w:t xml:space="preserve">, </w:t>
      </w:r>
      <w:r>
        <w:rPr>
          <w:rFonts w:ascii="Times New Roman" w:hAnsi="Times New Roman" w:eastAsia="Times New Roman"/>
          <w:i/>
          <w:sz w:val="20"/>
        </w:rPr>
        <w:t>22</w:t>
      </w:r>
      <w:r>
        <w:rPr>
          <w:rFonts w:ascii="Times New Roman" w:hAnsi="Times New Roman" w:eastAsia="Times New Roman"/>
          <w:sz w:val="20"/>
        </w:rPr>
        <w:t>(3)</w:t>
      </w:r>
      <w:r>
        <w:rPr>
          <w:rFonts w:ascii="Times New Roman" w:hAnsi="Times New Roman" w:eastAsia="Times New Roman"/>
          <w:sz w:val="20"/>
        </w:rPr>
        <w:t>, 342–360. https://doi.org/10.1177/1356389016638615</w:t>
      </w:r>
    </w:p>
    <w:p>
      <w:pPr>
        <w:spacing w:after="80" w:line="252" w:lineRule="auto"/>
        <w:ind w:left="490" w:hanging="490"/>
      </w:pPr>
      <w:r>
        <w:rPr>
          <w:rFonts w:ascii="Times New Roman" w:hAnsi="Times New Roman" w:eastAsia="Times New Roman"/>
          <w:sz w:val="20"/>
        </w:rPr>
        <w:t xml:space="preserve">Marghidan, C. P., Nairn, J., Blanford, J., van Aalst, M., &amp; Mistry, M. N. (2025). Untangling the fragmented landscape of extreme heat services and warning systems. </w:t>
      </w:r>
      <w:r>
        <w:rPr>
          <w:rFonts w:ascii="Times New Roman" w:hAnsi="Times New Roman" w:eastAsia="Times New Roman"/>
          <w:i/>
          <w:sz w:val="20"/>
        </w:rPr>
        <w:t>Environmental Research Letters</w:t>
      </w:r>
      <w:r>
        <w:rPr>
          <w:rFonts w:ascii="Times New Roman" w:hAnsi="Times New Roman" w:eastAsia="Times New Roman"/>
          <w:sz w:val="20"/>
        </w:rPr>
        <w:t xml:space="preserve">, </w:t>
      </w:r>
      <w:r>
        <w:rPr>
          <w:rFonts w:ascii="Times New Roman" w:hAnsi="Times New Roman" w:eastAsia="Times New Roman"/>
          <w:i/>
          <w:sz w:val="20"/>
        </w:rPr>
        <w:t>20</w:t>
      </w:r>
      <w:r>
        <w:rPr>
          <w:rFonts w:ascii="Times New Roman" w:hAnsi="Times New Roman" w:eastAsia="Times New Roman"/>
          <w:sz w:val="20"/>
        </w:rPr>
        <w:t>(10)</w:t>
      </w:r>
      <w:r>
        <w:rPr>
          <w:rFonts w:ascii="Times New Roman" w:hAnsi="Times New Roman" w:eastAsia="Times New Roman"/>
          <w:sz w:val="20"/>
        </w:rPr>
        <w:t>, 101002. https://doi.org/10.1088/1748-9326/adfe00</w:t>
      </w:r>
    </w:p>
    <w:p>
      <w:pPr>
        <w:spacing w:after="80" w:line="252" w:lineRule="auto"/>
        <w:ind w:left="490" w:hanging="490"/>
      </w:pPr>
      <w:r>
        <w:rPr>
          <w:rFonts w:ascii="Times New Roman" w:hAnsi="Times New Roman" w:eastAsia="Times New Roman"/>
          <w:sz w:val="20"/>
        </w:rPr>
        <w:t>Ministry of Education. (2022, May 11). Guidelines regarding precautions to be observed by schools to combat the ill-effects of the heat-wave. Press Information Bureau, Government of India. https://www.pib.gov.in/Pressreleaseshare.aspx?PRID=1824489</w:t>
      </w:r>
    </w:p>
    <w:p>
      <w:pPr>
        <w:spacing w:after="80" w:line="252" w:lineRule="auto"/>
        <w:ind w:left="490" w:hanging="490"/>
      </w:pPr>
      <w:r>
        <w:rPr>
          <w:rFonts w:ascii="Times New Roman" w:hAnsi="Times New Roman" w:eastAsia="Times New Roman"/>
          <w:sz w:val="20"/>
        </w:rPr>
        <w:t xml:space="preserve">Nastar, M. (2020). Message sent, now what? A critical analysis of the Heat Action Plan in Ahmedabad, India. </w:t>
      </w:r>
      <w:r>
        <w:rPr>
          <w:rFonts w:ascii="Times New Roman" w:hAnsi="Times New Roman" w:eastAsia="Times New Roman"/>
          <w:i/>
          <w:sz w:val="20"/>
        </w:rPr>
        <w:t>Urban Science</w:t>
      </w:r>
      <w:r>
        <w:rPr>
          <w:rFonts w:ascii="Times New Roman" w:hAnsi="Times New Roman" w:eastAsia="Times New Roman"/>
          <w:sz w:val="20"/>
        </w:rPr>
        <w:t xml:space="preserve">, </w:t>
      </w:r>
      <w:r>
        <w:rPr>
          <w:rFonts w:ascii="Times New Roman" w:hAnsi="Times New Roman" w:eastAsia="Times New Roman"/>
          <w:i/>
          <w:sz w:val="20"/>
        </w:rPr>
        <w:t>4</w:t>
      </w:r>
      <w:r>
        <w:rPr>
          <w:rFonts w:ascii="Times New Roman" w:hAnsi="Times New Roman" w:eastAsia="Times New Roman"/>
          <w:sz w:val="20"/>
        </w:rPr>
        <w:t>(4)</w:t>
      </w:r>
      <w:r>
        <w:rPr>
          <w:rFonts w:ascii="Times New Roman" w:hAnsi="Times New Roman" w:eastAsia="Times New Roman"/>
          <w:sz w:val="20"/>
        </w:rPr>
        <w:t>, 53. https://doi.org/10.3390/urbansci4040053</w:t>
      </w:r>
    </w:p>
    <w:p>
      <w:pPr>
        <w:spacing w:after="80" w:line="252" w:lineRule="auto"/>
        <w:ind w:left="490" w:hanging="490"/>
      </w:pPr>
      <w:r>
        <w:rPr>
          <w:rFonts w:ascii="Times New Roman" w:hAnsi="Times New Roman" w:eastAsia="Times New Roman"/>
          <w:sz w:val="20"/>
        </w:rPr>
        <w:t>National Disaster Management Authority. (2019). Guidelines for preparation of action plan – Prevention and management of heat wave. Government of India.</w:t>
      </w:r>
    </w:p>
    <w:p>
      <w:pPr>
        <w:spacing w:after="80" w:line="252" w:lineRule="auto"/>
        <w:ind w:left="490" w:hanging="490"/>
      </w:pPr>
      <w:r>
        <w:rPr>
          <w:rFonts w:ascii="Times New Roman" w:hAnsi="Times New Roman" w:eastAsia="Times New Roman"/>
          <w:sz w:val="20"/>
        </w:rPr>
        <w:t xml:space="preserve">Rizmie, D., Christo, E., Carosella, E., Almstead, L., Bhinge, M., &amp; Sivasankaran, A. (2025). The role of climate services for health: Theoretical case studies on heat-health warning systems in India. </w:t>
      </w:r>
      <w:r>
        <w:rPr>
          <w:rFonts w:ascii="Times New Roman" w:hAnsi="Times New Roman" w:eastAsia="Times New Roman"/>
          <w:i/>
          <w:sz w:val="20"/>
        </w:rPr>
        <w:t>PLOS Climate</w:t>
      </w:r>
      <w:r>
        <w:rPr>
          <w:rFonts w:ascii="Times New Roman" w:hAnsi="Times New Roman" w:eastAsia="Times New Roman"/>
          <w:sz w:val="20"/>
        </w:rPr>
        <w:t xml:space="preserve">, </w:t>
      </w:r>
      <w:r>
        <w:rPr>
          <w:rFonts w:ascii="Times New Roman" w:hAnsi="Times New Roman" w:eastAsia="Times New Roman"/>
          <w:i/>
          <w:sz w:val="20"/>
        </w:rPr>
        <w:t>4</w:t>
      </w:r>
      <w:r>
        <w:rPr>
          <w:rFonts w:ascii="Times New Roman" w:hAnsi="Times New Roman" w:eastAsia="Times New Roman"/>
          <w:sz w:val="20"/>
        </w:rPr>
        <w:t>(12)</w:t>
      </w:r>
      <w:r>
        <w:rPr>
          <w:rFonts w:ascii="Times New Roman" w:hAnsi="Times New Roman" w:eastAsia="Times New Roman"/>
          <w:sz w:val="20"/>
        </w:rPr>
        <w:t>, e0000637. https://doi.org/10.1371/journal.pclm.0000637</w:t>
      </w:r>
    </w:p>
    <w:p>
      <w:pPr>
        <w:spacing w:after="80" w:line="252" w:lineRule="auto"/>
        <w:ind w:left="490" w:hanging="490"/>
      </w:pPr>
      <w:r>
        <w:rPr>
          <w:rFonts w:ascii="Times New Roman" w:hAnsi="Times New Roman" w:eastAsia="Times New Roman"/>
          <w:sz w:val="20"/>
        </w:rPr>
        <w:t xml:space="preserve">Sakurai, A., Kumagai, M., Murayama, Y., Bisri, M. B. F., &amp; Sato, T. (2026). Operationalizing updated tsunami hazard assumptions in school evacuation planning: Insights from teacher training and implementation challenges in Japan. </w:t>
      </w:r>
      <w:r>
        <w:rPr>
          <w:rFonts w:ascii="Times New Roman" w:hAnsi="Times New Roman" w:eastAsia="Times New Roman"/>
          <w:i/>
          <w:sz w:val="20"/>
        </w:rPr>
        <w:t>Journal of Disaster Research</w:t>
      </w:r>
      <w:r>
        <w:rPr>
          <w:rFonts w:ascii="Times New Roman" w:hAnsi="Times New Roman" w:eastAsia="Times New Roman"/>
          <w:sz w:val="20"/>
        </w:rPr>
        <w:t xml:space="preserve">, </w:t>
      </w:r>
      <w:r>
        <w:rPr>
          <w:rFonts w:ascii="Times New Roman" w:hAnsi="Times New Roman" w:eastAsia="Times New Roman"/>
          <w:i/>
          <w:sz w:val="20"/>
        </w:rPr>
        <w:t>21</w:t>
      </w:r>
      <w:r>
        <w:rPr>
          <w:rFonts w:ascii="Times New Roman" w:hAnsi="Times New Roman" w:eastAsia="Times New Roman"/>
          <w:sz w:val="20"/>
        </w:rPr>
        <w:t>(1)</w:t>
      </w:r>
      <w:r>
        <w:rPr>
          <w:rFonts w:ascii="Times New Roman" w:hAnsi="Times New Roman" w:eastAsia="Times New Roman"/>
          <w:sz w:val="20"/>
        </w:rPr>
        <w:t>, 138–150. https://doi.org/10.20965/jdr.2026.p0138</w:t>
      </w:r>
    </w:p>
    <w:p>
      <w:pPr>
        <w:spacing w:after="80" w:line="252" w:lineRule="auto"/>
        <w:ind w:left="490" w:hanging="490"/>
      </w:pPr>
      <w:r>
        <w:rPr>
          <w:rFonts w:ascii="Times New Roman" w:hAnsi="Times New Roman" w:eastAsia="Times New Roman"/>
          <w:sz w:val="20"/>
        </w:rPr>
        <w:t xml:space="preserve">Saunik, S., &amp; Shaw, R. (2026). Heat Resilience Framework: A methodological approach to assessing a city’s preparedness for heatwaves. </w:t>
      </w:r>
      <w:r>
        <w:rPr>
          <w:rFonts w:ascii="Times New Roman" w:hAnsi="Times New Roman" w:eastAsia="Times New Roman"/>
          <w:i/>
          <w:sz w:val="20"/>
        </w:rPr>
        <w:t>Climate</w:t>
      </w:r>
      <w:r>
        <w:rPr>
          <w:rFonts w:ascii="Times New Roman" w:hAnsi="Times New Roman" w:eastAsia="Times New Roman"/>
          <w:sz w:val="20"/>
        </w:rPr>
        <w:t xml:space="preserve">, </w:t>
      </w:r>
      <w:r>
        <w:rPr>
          <w:rFonts w:ascii="Times New Roman" w:hAnsi="Times New Roman" w:eastAsia="Times New Roman"/>
          <w:i/>
          <w:sz w:val="20"/>
        </w:rPr>
        <w:t>14</w:t>
      </w:r>
      <w:r>
        <w:rPr>
          <w:rFonts w:ascii="Times New Roman" w:hAnsi="Times New Roman" w:eastAsia="Times New Roman"/>
          <w:sz w:val="20"/>
        </w:rPr>
        <w:t>(7)</w:t>
      </w:r>
      <w:r>
        <w:rPr>
          <w:rFonts w:ascii="Times New Roman" w:hAnsi="Times New Roman" w:eastAsia="Times New Roman"/>
          <w:sz w:val="20"/>
        </w:rPr>
        <w:t>, 149. https://doi.org/10.3390/cli14070149</w:t>
      </w:r>
    </w:p>
    <w:p>
      <w:pPr>
        <w:spacing w:after="80" w:line="252" w:lineRule="auto"/>
        <w:ind w:left="490" w:hanging="490"/>
      </w:pPr>
      <w:r>
        <w:rPr>
          <w:rFonts w:ascii="Times New Roman" w:hAnsi="Times New Roman" w:eastAsia="Times New Roman"/>
          <w:sz w:val="20"/>
        </w:rPr>
        <w:t xml:space="preserve">Sa’adi, Z., Zainon Noor, Z., Zaidi, N. S., Mohamed, N. H., Abdul Razak, F., Foze, M. F., Md Noor, S. F., Hridoy, M. A. A. M., Shahid, S., Ershadfath, F., &amp; Kemarau, R. A. (2026). Youth-led spatio-temporal heatwave co-adaptation mapping through data-driven participatory dotmocracy approach. </w:t>
      </w:r>
      <w:r>
        <w:rPr>
          <w:rFonts w:ascii="Times New Roman" w:hAnsi="Times New Roman" w:eastAsia="Times New Roman"/>
          <w:i/>
          <w:sz w:val="20"/>
        </w:rPr>
        <w:t>International Journal of Biometeorology</w:t>
      </w:r>
      <w:r>
        <w:rPr>
          <w:rFonts w:ascii="Times New Roman" w:hAnsi="Times New Roman" w:eastAsia="Times New Roman"/>
          <w:sz w:val="20"/>
        </w:rPr>
        <w:t xml:space="preserve">, </w:t>
      </w:r>
      <w:r>
        <w:rPr>
          <w:rFonts w:ascii="Times New Roman" w:hAnsi="Times New Roman" w:eastAsia="Times New Roman"/>
          <w:i/>
          <w:sz w:val="20"/>
        </w:rPr>
        <w:t>70</w:t>
      </w:r>
      <w:r>
        <w:rPr>
          <w:rFonts w:ascii="Times New Roman" w:hAnsi="Times New Roman" w:eastAsia="Times New Roman"/>
          <w:sz w:val="20"/>
        </w:rPr>
        <w:t>, Article 157. https://doi.org/10.1007/s00484-026-03218-0</w:t>
      </w:r>
    </w:p>
    <w:p>
      <w:pPr>
        <w:spacing w:after="80" w:line="252" w:lineRule="auto"/>
        <w:ind w:left="490" w:hanging="490"/>
      </w:pPr>
      <w:r>
        <w:rPr>
          <w:rFonts w:ascii="Times New Roman" w:hAnsi="Times New Roman" w:eastAsia="Times New Roman"/>
          <w:sz w:val="20"/>
        </w:rPr>
        <w:t xml:space="preserve">Singh, C., Ramesh, A., Hagenlocher, M., Shekhar, H., Siemons, A., Okunola, O. H., &amp; Werners, S. E. (2024). Applying recent advances in climate adaptation research to urban heat risk management. </w:t>
      </w:r>
      <w:r>
        <w:rPr>
          <w:rFonts w:ascii="Times New Roman" w:hAnsi="Times New Roman" w:eastAsia="Times New Roman"/>
          <w:i/>
          <w:sz w:val="20"/>
        </w:rPr>
        <w:t>WIREs Climate Change</w:t>
      </w:r>
      <w:r>
        <w:rPr>
          <w:rFonts w:ascii="Times New Roman" w:hAnsi="Times New Roman" w:eastAsia="Times New Roman"/>
          <w:sz w:val="20"/>
        </w:rPr>
        <w:t xml:space="preserve">, </w:t>
      </w:r>
      <w:r>
        <w:rPr>
          <w:rFonts w:ascii="Times New Roman" w:hAnsi="Times New Roman" w:eastAsia="Times New Roman"/>
          <w:i/>
          <w:sz w:val="20"/>
        </w:rPr>
        <w:t>15</w:t>
      </w:r>
      <w:r>
        <w:rPr>
          <w:rFonts w:ascii="Times New Roman" w:hAnsi="Times New Roman" w:eastAsia="Times New Roman"/>
          <w:sz w:val="20"/>
        </w:rPr>
        <w:t>(5)</w:t>
      </w:r>
      <w:r>
        <w:rPr>
          <w:rFonts w:ascii="Times New Roman" w:hAnsi="Times New Roman" w:eastAsia="Times New Roman"/>
          <w:sz w:val="20"/>
        </w:rPr>
        <w:t>, e901. https://doi.org/10.1002/wcc.901</w:t>
      </w:r>
    </w:p>
    <w:p>
      <w:pPr>
        <w:spacing w:after="80" w:line="252" w:lineRule="auto"/>
        <w:ind w:left="490" w:hanging="490"/>
      </w:pPr>
      <w:r>
        <w:rPr>
          <w:rFonts w:ascii="Times New Roman" w:hAnsi="Times New Roman" w:eastAsia="Times New Roman"/>
          <w:sz w:val="20"/>
        </w:rPr>
        <w:t xml:space="preserve">Singh, C., Vyas, D., Patil, S., Ranjit, N., Poonacha, P., &amp; Surampally, S. (2024). How are Indian cities adapting to extreme heat? Insights on heat risk governance and incremental adaptation from ten urban Heat Action Plans. </w:t>
      </w:r>
      <w:r>
        <w:rPr>
          <w:rFonts w:ascii="Times New Roman" w:hAnsi="Times New Roman" w:eastAsia="Times New Roman"/>
          <w:i/>
          <w:sz w:val="20"/>
        </w:rPr>
        <w:t>PLOS Climate</w:t>
      </w:r>
      <w:r>
        <w:rPr>
          <w:rFonts w:ascii="Times New Roman" w:hAnsi="Times New Roman" w:eastAsia="Times New Roman"/>
          <w:sz w:val="20"/>
        </w:rPr>
        <w:t xml:space="preserve">, </w:t>
      </w:r>
      <w:r>
        <w:rPr>
          <w:rFonts w:ascii="Times New Roman" w:hAnsi="Times New Roman" w:eastAsia="Times New Roman"/>
          <w:i/>
          <w:sz w:val="20"/>
        </w:rPr>
        <w:t>3</w:t>
      </w:r>
      <w:r>
        <w:rPr>
          <w:rFonts w:ascii="Times New Roman" w:hAnsi="Times New Roman" w:eastAsia="Times New Roman"/>
          <w:sz w:val="20"/>
        </w:rPr>
        <w:t>(11)</w:t>
      </w:r>
      <w:r>
        <w:rPr>
          <w:rFonts w:ascii="Times New Roman" w:hAnsi="Times New Roman" w:eastAsia="Times New Roman"/>
          <w:sz w:val="20"/>
        </w:rPr>
        <w:t>, e0000484. https://doi.org/10.1371/journal.pclm.0000484</w:t>
      </w:r>
    </w:p>
    <w:p>
      <w:pPr>
        <w:spacing w:after="80" w:line="252" w:lineRule="auto"/>
        <w:ind w:left="490" w:hanging="490"/>
      </w:pPr>
      <w:r>
        <w:rPr>
          <w:rFonts w:ascii="Times New Roman" w:hAnsi="Times New Roman" w:eastAsia="Times New Roman"/>
          <w:sz w:val="20"/>
        </w:rPr>
        <w:t xml:space="preserve">Xiong, K., &amp; He, B. (2024). Planning for heat-resilient educational precincts: Framework formulation, cooling infrastructure selection and walkable routes determination. </w:t>
      </w:r>
      <w:r>
        <w:rPr>
          <w:rFonts w:ascii="Times New Roman" w:hAnsi="Times New Roman" w:eastAsia="Times New Roman"/>
          <w:i/>
          <w:sz w:val="20"/>
        </w:rPr>
        <w:t>Sustainable Cities and Society</w:t>
      </w:r>
      <w:r>
        <w:rPr>
          <w:rFonts w:ascii="Times New Roman" w:hAnsi="Times New Roman" w:eastAsia="Times New Roman"/>
          <w:sz w:val="20"/>
        </w:rPr>
        <w:t xml:space="preserve">, </w:t>
      </w:r>
      <w:r>
        <w:rPr>
          <w:rFonts w:ascii="Times New Roman" w:hAnsi="Times New Roman" w:eastAsia="Times New Roman"/>
          <w:i/>
          <w:sz w:val="20"/>
        </w:rPr>
        <w:t>101</w:t>
      </w:r>
      <w:r>
        <w:rPr>
          <w:rFonts w:ascii="Times New Roman" w:hAnsi="Times New Roman" w:eastAsia="Times New Roman"/>
          <w:sz w:val="20"/>
        </w:rPr>
        <w:t>, 105183. https://doi.org/10.1016/j.scs.2024.105183</w:t>
      </w:r>
    </w:p>
    <w:p>
      <w:pPr>
        <w:spacing w:after="80" w:line="252" w:lineRule="auto"/>
        <w:ind w:left="490" w:hanging="490"/>
      </w:pPr>
      <w:r>
        <w:rPr>
          <w:rFonts w:ascii="Times New Roman" w:hAnsi="Times New Roman" w:eastAsia="Times New Roman"/>
          <w:sz w:val="20"/>
        </w:rPr>
        <w:t xml:space="preserve">Yadav, N., &amp; Sharma, C. (2018). Spatial variations of intra-city urban heat island in megacity Delhi. </w:t>
      </w:r>
      <w:r>
        <w:rPr>
          <w:rFonts w:ascii="Times New Roman" w:hAnsi="Times New Roman" w:eastAsia="Times New Roman"/>
          <w:i/>
          <w:sz w:val="20"/>
        </w:rPr>
        <w:t>Sustainable Cities and Society</w:t>
      </w:r>
      <w:r>
        <w:rPr>
          <w:rFonts w:ascii="Times New Roman" w:hAnsi="Times New Roman" w:eastAsia="Times New Roman"/>
          <w:sz w:val="20"/>
        </w:rPr>
        <w:t xml:space="preserve">, </w:t>
      </w:r>
      <w:r>
        <w:rPr>
          <w:rFonts w:ascii="Times New Roman" w:hAnsi="Times New Roman" w:eastAsia="Times New Roman"/>
          <w:i/>
          <w:sz w:val="20"/>
        </w:rPr>
        <w:t>37</w:t>
      </w:r>
      <w:r>
        <w:rPr>
          <w:rFonts w:ascii="Times New Roman" w:hAnsi="Times New Roman" w:eastAsia="Times New Roman"/>
          <w:sz w:val="20"/>
        </w:rPr>
        <w:t>, 298–306. https://doi.org/10.1016/j.scs.2017.11.026</w:t>
      </w:r>
    </w:p>
    <w:p>
      <w:pPr>
        <w:spacing w:after="80" w:line="252" w:lineRule="auto"/>
        <w:ind w:left="490" w:hanging="490"/>
      </w:pPr>
      <w:r>
        <w:rPr>
          <w:rFonts w:ascii="Times New Roman" w:hAnsi="Times New Roman" w:eastAsia="Times New Roman"/>
          <w:sz w:val="20"/>
        </w:rPr>
        <w:t>Yin, R. K. (2018). Case study research and applications: Design and methods (6th ed.). SAGE.</w:t>
      </w:r>
    </w:p>
    <w:p>
      <w:pPr>
        <w:pStyle w:val="Heading1"/>
      </w:pPr>
      <w:r>
        <w:t>APPENDIX A. PRINCIPAL INTERVIEW GUIDE — CORE DOMAINS</w:t>
      </w:r>
    </w:p>
    <w:p>
      <w:pPr>
        <w:pStyle w:val="ListBullet"/>
        <w:spacing w:after="60" w:line="269" w:lineRule="auto"/>
        <w:ind w:left="432"/>
      </w:pPr>
      <w:r>
        <w:rPr>
          <w:rFonts w:ascii="Times New Roman" w:hAnsi="Times New Roman" w:eastAsia="Times New Roman"/>
          <w:sz w:val="22"/>
        </w:rPr>
        <w:t>Before the heat season: What is the first heat-related instruction the school receives each year? What happens before any live warning? Who is responsible and who is the alternate?</w:t>
      </w:r>
    </w:p>
    <w:p>
      <w:pPr>
        <w:pStyle w:val="ListBullet"/>
        <w:spacing w:after="60" w:line="269" w:lineRule="auto"/>
        <w:ind w:left="432"/>
      </w:pPr>
      <w:r>
        <w:rPr>
          <w:rFonts w:ascii="Times New Roman" w:hAnsi="Times New Roman" w:eastAsia="Times New Roman"/>
          <w:sz w:val="22"/>
        </w:rPr>
        <w:t>Warning receipt: Which official channels are considered authoritative? Who receives the message, at what time, and how is receipt acknowledged or redistributed?</w:t>
      </w:r>
    </w:p>
    <w:p>
      <w:pPr>
        <w:pStyle w:val="ListBullet"/>
        <w:spacing w:after="60" w:line="269" w:lineRule="auto"/>
        <w:ind w:left="432"/>
      </w:pPr>
      <w:r>
        <w:rPr>
          <w:rFonts w:ascii="Times New Roman" w:hAnsi="Times New Roman" w:eastAsia="Times New Roman"/>
          <w:sz w:val="22"/>
        </w:rPr>
        <w:t>Escalation: How is a worsening official forecast handled? What is prepared today if conditions may worsen tomorrow?</w:t>
      </w:r>
    </w:p>
    <w:p>
      <w:pPr>
        <w:pStyle w:val="ListBullet"/>
        <w:spacing w:after="60" w:line="269" w:lineRule="auto"/>
        <w:ind w:left="432"/>
      </w:pPr>
      <w:r>
        <w:rPr>
          <w:rFonts w:ascii="Times New Roman" w:hAnsi="Times New Roman" w:eastAsia="Times New Roman"/>
          <w:sz w:val="22"/>
        </w:rPr>
        <w:t>Jurisdiction: Which actions can the principal take independently—outdoor activity, room change, assembly, timing, exam arrangement, early dispersal—and which require zonal/DoE approval?</w:t>
      </w:r>
    </w:p>
    <w:p>
      <w:pPr>
        <w:pStyle w:val="ListBullet"/>
        <w:spacing w:after="60" w:line="269" w:lineRule="auto"/>
        <w:ind w:left="432"/>
      </w:pPr>
      <w:r>
        <w:rPr>
          <w:rFonts w:ascii="Times New Roman" w:hAnsi="Times New Roman" w:eastAsia="Times New Roman"/>
          <w:sz w:val="22"/>
        </w:rPr>
        <w:t>Feasibility: What prevents an otherwise appropriate action? Probe water, power, rooms, staffing, transport, exams, double shifts and parent availability.</w:t>
      </w:r>
    </w:p>
    <w:p>
      <w:pPr>
        <w:pStyle w:val="ListBullet"/>
        <w:spacing w:after="60" w:line="269" w:lineRule="auto"/>
        <w:ind w:left="432"/>
      </w:pPr>
      <w:r>
        <w:rPr>
          <w:rFonts w:ascii="Times New Roman" w:hAnsi="Times New Roman" w:eastAsia="Times New Roman"/>
          <w:sz w:val="22"/>
        </w:rPr>
        <w:t>Protective continuity: If pupils are already present during severe heat, how are they supervised and dispersed? What happens when guardians are delayed? What is the escalation route if ordinary dispersal is unsafe?</w:t>
      </w:r>
    </w:p>
    <w:p>
      <w:pPr>
        <w:pStyle w:val="ListBullet"/>
        <w:spacing w:after="60" w:line="269" w:lineRule="auto"/>
        <w:ind w:left="432"/>
      </w:pPr>
      <w:r>
        <w:rPr>
          <w:rFonts w:ascii="Times New Roman" w:hAnsi="Times New Roman" w:eastAsia="Times New Roman"/>
          <w:sz w:val="22"/>
        </w:rPr>
        <w:t>Learning: What was recorded after the last difficult heat period? Did any incident, complaint or constraint change this year’s preparation?</w:t>
      </w:r>
    </w:p>
    <w:p>
      <w:pPr>
        <w:pStyle w:val="Heading1"/>
      </w:pPr>
      <w:r>
        <w:t>APPENDIX B. TEACHER INTERVIEW GUIDE — MATCHED DOMAINS</w:t>
      </w:r>
    </w:p>
    <w:p>
      <w:pPr>
        <w:pStyle w:val="ListBullet"/>
        <w:spacing w:after="60" w:line="269" w:lineRule="auto"/>
        <w:ind w:left="432"/>
      </w:pPr>
      <w:r>
        <w:rPr>
          <w:rFonts w:ascii="Times New Roman" w:hAnsi="Times New Roman" w:eastAsia="Times New Roman"/>
          <w:sz w:val="22"/>
        </w:rPr>
        <w:t>What heat preparation or briefing occurred before live alerts? What did you personally expect to do?</w:t>
      </w:r>
    </w:p>
    <w:p>
      <w:pPr>
        <w:pStyle w:val="ListBullet"/>
        <w:spacing w:after="60" w:line="269" w:lineRule="auto"/>
        <w:ind w:left="432"/>
      </w:pPr>
      <w:r>
        <w:rPr>
          <w:rFonts w:ascii="Times New Roman" w:hAnsi="Times New Roman" w:eastAsia="Times New Roman"/>
          <w:sz w:val="22"/>
        </w:rPr>
        <w:t>How do heat warnings or school instructions reach you? What do the warning levels mean to you in practice?</w:t>
      </w:r>
    </w:p>
    <w:p>
      <w:pPr>
        <w:pStyle w:val="ListBullet"/>
        <w:spacing w:after="60" w:line="269" w:lineRule="auto"/>
        <w:ind w:left="432"/>
      </w:pPr>
      <w:r>
        <w:rPr>
          <w:rFonts w:ascii="Times New Roman" w:hAnsi="Times New Roman" w:eastAsia="Times New Roman"/>
          <w:sz w:val="22"/>
        </w:rPr>
        <w:t>What changes can you make independently in your classroom, and what requires the principal’s instruction?</w:t>
      </w:r>
    </w:p>
    <w:p>
      <w:pPr>
        <w:pStyle w:val="ListBullet"/>
        <w:spacing w:after="60" w:line="269" w:lineRule="auto"/>
        <w:ind w:left="432"/>
      </w:pPr>
      <w:r>
        <w:rPr>
          <w:rFonts w:ascii="Times New Roman" w:hAnsi="Times New Roman" w:eastAsia="Times New Roman"/>
          <w:sz w:val="22"/>
        </w:rPr>
        <w:t>Which rooms, times and activities are hardest during heat? What happens when water, electricity or ventilation is inadequate?</w:t>
      </w:r>
    </w:p>
    <w:p>
      <w:pPr>
        <w:pStyle w:val="ListBullet"/>
        <w:spacing w:after="60" w:line="269" w:lineRule="auto"/>
        <w:ind w:left="432"/>
      </w:pPr>
      <w:r>
        <w:rPr>
          <w:rFonts w:ascii="Times New Roman" w:hAnsi="Times New Roman" w:eastAsia="Times New Roman"/>
          <w:sz w:val="22"/>
        </w:rPr>
        <w:t>Apply the same five vignettes used with principals; do not reveal the principal’s answers.</w:t>
      </w:r>
    </w:p>
    <w:p>
      <w:pPr>
        <w:pStyle w:val="ListBullet"/>
        <w:spacing w:after="60" w:line="269" w:lineRule="auto"/>
        <w:ind w:left="432"/>
      </w:pPr>
      <w:r>
        <w:rPr>
          <w:rFonts w:ascii="Times New Roman" w:hAnsi="Times New Roman" w:eastAsia="Times New Roman"/>
          <w:sz w:val="22"/>
        </w:rPr>
        <w:t>How would severe heat affect primary versus older students, outdoor activities, examinations and dispersal?</w:t>
      </w:r>
    </w:p>
    <w:p>
      <w:pPr>
        <w:pStyle w:val="ListBullet"/>
        <w:spacing w:after="60" w:line="269" w:lineRule="auto"/>
        <w:ind w:left="432"/>
      </w:pPr>
      <w:r>
        <w:rPr>
          <w:rFonts w:ascii="Times New Roman" w:hAnsi="Times New Roman" w:eastAsia="Times New Roman"/>
          <w:sz w:val="22"/>
        </w:rPr>
        <w:t>What happens if guardians are delayed? Where does the teacher believe responsibility sits?</w:t>
      </w:r>
    </w:p>
    <w:p>
      <w:pPr>
        <w:pStyle w:val="ListBullet"/>
        <w:spacing w:after="60" w:line="269" w:lineRule="auto"/>
        <w:ind w:left="432"/>
      </w:pPr>
      <w:r>
        <w:rPr>
          <w:rFonts w:ascii="Times New Roman" w:hAnsi="Times New Roman" w:eastAsia="Times New Roman"/>
          <w:sz w:val="22"/>
        </w:rPr>
        <w:t>What would make an official heat instruction genuinely usable in daily teaching practice?</w:t>
      </w:r>
    </w:p>
    <w:p>
      <w:pPr>
        <w:pStyle w:val="Heading1"/>
      </w:pPr>
      <w:r>
        <w:t>APPENDIX C. OFFICIAL / ZONAL INTERVIEW DOMAINS</w:t>
      </w:r>
    </w:p>
    <w:p>
      <w:pPr>
        <w:pStyle w:val="ListBullet"/>
        <w:spacing w:after="60" w:line="269" w:lineRule="auto"/>
        <w:ind w:left="432"/>
      </w:pPr>
      <w:r>
        <w:rPr>
          <w:rFonts w:ascii="Times New Roman" w:hAnsi="Times New Roman" w:eastAsia="Times New Roman"/>
          <w:sz w:val="22"/>
        </w:rPr>
        <w:t>What standing pre-season instructions are expected before live heat alerts?</w:t>
      </w:r>
    </w:p>
    <w:p>
      <w:pPr>
        <w:pStyle w:val="ListBullet"/>
        <w:spacing w:after="60" w:line="269" w:lineRule="auto"/>
        <w:ind w:left="432"/>
      </w:pPr>
      <w:r>
        <w:rPr>
          <w:rFonts w:ascii="Times New Roman" w:hAnsi="Times New Roman" w:eastAsia="Times New Roman"/>
          <w:sz w:val="22"/>
        </w:rPr>
        <w:t>Which alert or administrative trigger activates school-level precautions, and are any actions explicitly linked to Yellow/Orange/Red or other warning categories?</w:t>
      </w:r>
    </w:p>
    <w:p>
      <w:pPr>
        <w:pStyle w:val="ListBullet"/>
        <w:spacing w:after="60" w:line="269" w:lineRule="auto"/>
        <w:ind w:left="432"/>
      </w:pPr>
      <w:r>
        <w:rPr>
          <w:rFonts w:ascii="Times New Roman" w:hAnsi="Times New Roman" w:eastAsia="Times New Roman"/>
          <w:sz w:val="22"/>
        </w:rPr>
        <w:t>What is delegated to principals and what requires DoE/DDE approval?</w:t>
      </w:r>
    </w:p>
    <w:p>
      <w:pPr>
        <w:pStyle w:val="ListBullet"/>
        <w:spacing w:after="60" w:line="269" w:lineRule="auto"/>
        <w:ind w:left="432"/>
      </w:pPr>
      <w:r>
        <w:rPr>
          <w:rFonts w:ascii="Times New Roman" w:hAnsi="Times New Roman" w:eastAsia="Times New Roman"/>
          <w:sz w:val="22"/>
        </w:rPr>
        <w:t>How should schools respond when local school conditions appear unsafe but no new education-sector order has arrived?</w:t>
      </w:r>
    </w:p>
    <w:p>
      <w:pPr>
        <w:pStyle w:val="ListBullet"/>
        <w:spacing w:after="60" w:line="269" w:lineRule="auto"/>
        <w:ind w:left="432"/>
      </w:pPr>
      <w:r>
        <w:rPr>
          <w:rFonts w:ascii="Times New Roman" w:hAnsi="Times New Roman" w:eastAsia="Times New Roman"/>
          <w:sz w:val="22"/>
        </w:rPr>
        <w:t>What is the intended procedure when severe heat occurs while students are already present?</w:t>
      </w:r>
    </w:p>
    <w:p>
      <w:pPr>
        <w:pStyle w:val="ListBullet"/>
        <w:spacing w:after="60" w:line="269" w:lineRule="auto"/>
        <w:ind w:left="432"/>
      </w:pPr>
      <w:r>
        <w:rPr>
          <w:rFonts w:ascii="Times New Roman" w:hAnsi="Times New Roman" w:eastAsia="Times New Roman"/>
          <w:sz w:val="22"/>
        </w:rPr>
        <w:t>What provision exists for delayed guardian collection, safe temporary holding and administrative escalation?</w:t>
      </w:r>
    </w:p>
    <w:p>
      <w:pPr>
        <w:pStyle w:val="ListBullet"/>
        <w:spacing w:after="60" w:line="269" w:lineRule="auto"/>
        <w:ind w:left="432"/>
      </w:pPr>
      <w:r>
        <w:rPr>
          <w:rFonts w:ascii="Times New Roman" w:hAnsi="Times New Roman" w:eastAsia="Times New Roman"/>
          <w:sz w:val="22"/>
        </w:rPr>
        <w:t>What records, compliance checks or post-season reviews are expected, and how does school feedback reach higher levels?</w:t>
      </w:r>
    </w:p>
    <w:p>
      <w:pPr>
        <w:pStyle w:val="Heading1"/>
      </w:pPr>
      <w:r>
        <w:t>APPENDIX D. DOCUMENT ACTIONABILITY CODING TEMPLATE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vAlign w:val="top"/>
            <w:shd w:fill="D9EAF7"/>
          </w:tcPr>
          <w:p>
            <w:pPr>
              <w:spacing w:after="0"/>
            </w:pPr>
            <w:r/>
            <w:r>
              <w:rPr>
                <w:rFonts w:ascii="Times New Roman" w:hAnsi="Times New Roman" w:eastAsia="Times New Roman"/>
                <w:b/>
                <w:sz w:val="15"/>
              </w:rPr>
              <w:t>Document / provision</w:t>
            </w:r>
          </w:p>
        </w:tc>
        <w:tc>
          <w:tcPr>
            <w:tcW w:type="dxa" w:w="1260"/>
            <w:vAlign w:val="top"/>
            <w:shd w:fill="D9EAF7"/>
          </w:tcPr>
          <w:p>
            <w:pPr>
              <w:spacing w:after="0"/>
            </w:pPr>
            <w:r/>
            <w:r>
              <w:rPr>
                <w:rFonts w:ascii="Times New Roman" w:hAnsi="Times New Roman" w:eastAsia="Times New Roman"/>
                <w:b/>
                <w:sz w:val="15"/>
              </w:rPr>
              <w:t>Trigger</w:t>
            </w:r>
          </w:p>
        </w:tc>
        <w:tc>
          <w:tcPr>
            <w:tcW w:type="dxa" w:w="1260"/>
            <w:vAlign w:val="top"/>
            <w:shd w:fill="D9EAF7"/>
          </w:tcPr>
          <w:p>
            <w:pPr>
              <w:spacing w:after="0"/>
            </w:pPr>
            <w:r/>
            <w:r>
              <w:rPr>
                <w:rFonts w:ascii="Times New Roman" w:hAnsi="Times New Roman" w:eastAsia="Times New Roman"/>
                <w:b/>
                <w:sz w:val="15"/>
              </w:rPr>
              <w:t>Target actor</w:t>
            </w:r>
          </w:p>
        </w:tc>
        <w:tc>
          <w:tcPr>
            <w:tcW w:type="dxa" w:w="1260"/>
            <w:vAlign w:val="top"/>
            <w:shd w:fill="D9EAF7"/>
          </w:tcPr>
          <w:p>
            <w:pPr>
              <w:spacing w:after="0"/>
            </w:pPr>
            <w:r/>
            <w:r>
              <w:rPr>
                <w:rFonts w:ascii="Times New Roman" w:hAnsi="Times New Roman" w:eastAsia="Times New Roman"/>
                <w:b/>
                <w:sz w:val="15"/>
              </w:rPr>
              <w:t>Action</w:t>
            </w:r>
          </w:p>
        </w:tc>
        <w:tc>
          <w:tcPr>
            <w:tcW w:type="dxa" w:w="1260"/>
            <w:vAlign w:val="top"/>
            <w:shd w:fill="D9EAF7"/>
          </w:tcPr>
          <w:p>
            <w:pPr>
              <w:spacing w:after="0"/>
            </w:pPr>
            <w:r/>
            <w:r>
              <w:rPr>
                <w:rFonts w:ascii="Times New Roman" w:hAnsi="Times New Roman" w:eastAsia="Times New Roman"/>
                <w:b/>
                <w:sz w:val="15"/>
              </w:rPr>
              <w:t>Authority</w:t>
            </w:r>
          </w:p>
        </w:tc>
        <w:tc>
          <w:tcPr>
            <w:tcW w:type="dxa" w:w="1260"/>
            <w:vAlign w:val="top"/>
            <w:shd w:fill="D9EAF7"/>
          </w:tcPr>
          <w:p>
            <w:pPr>
              <w:spacing w:after="0"/>
            </w:pPr>
            <w:r/>
            <w:r>
              <w:rPr>
                <w:rFonts w:ascii="Times New Roman" w:hAnsi="Times New Roman" w:eastAsia="Times New Roman"/>
                <w:b/>
                <w:sz w:val="15"/>
              </w:rPr>
              <w:t>Resources assumed</w:t>
            </w:r>
          </w:p>
        </w:tc>
        <w:tc>
          <w:tcPr>
            <w:tcW w:type="dxa" w:w="1260"/>
            <w:vAlign w:val="top"/>
            <w:shd w:fill="D9EAF7"/>
          </w:tcPr>
          <w:p>
            <w:pPr>
              <w:spacing w:after="0"/>
            </w:pPr>
            <w:r/>
            <w:r>
              <w:rPr>
                <w:rFonts w:ascii="Times New Roman" w:hAnsi="Times New Roman" w:eastAsia="Times New Roman"/>
                <w:b/>
                <w:sz w:val="15"/>
              </w:rPr>
              <w:t>Exception / continuity</w:t>
            </w:r>
          </w:p>
        </w:tc>
        <w:tc>
          <w:tcPr>
            <w:tcW w:type="dxa" w:w="1260"/>
            <w:vAlign w:val="top"/>
            <w:shd w:fill="D9EAF7"/>
          </w:tcPr>
          <w:p>
            <w:pPr>
              <w:spacing w:after="0"/>
            </w:pPr>
            <w:r/>
            <w:r>
              <w:rPr>
                <w:rFonts w:ascii="Times New Roman" w:hAnsi="Times New Roman" w:eastAsia="Times New Roman"/>
                <w:b/>
                <w:sz w:val="15"/>
              </w:rPr>
              <w:t>Reporting / review</w:t>
            </w:r>
          </w:p>
        </w:tc>
      </w:tr>
      <w:tr>
        <w:tc>
          <w:tcPr>
            <w:tcW w:type="dxa" w:w="1260"/>
            <w:vAlign w:val="top"/>
          </w:tcPr>
          <w:p>
            <w:pPr>
              <w:spacing w:after="0"/>
            </w:pPr>
            <w:r/>
            <w:r>
              <w:rPr>
                <w:rFonts w:ascii="Times New Roman" w:hAnsi="Times New Roman" w:eastAsia="Times New Roman"/>
                <w:b w:val="0"/>
                <w:sz w:val="15"/>
              </w:rPr>
              <w:t>Example</w:t>
            </w:r>
          </w:p>
        </w:tc>
        <w:tc>
          <w:tcPr>
            <w:tcW w:type="dxa" w:w="1260"/>
            <w:vAlign w:val="top"/>
          </w:tcPr>
          <w:p>
            <w:pPr>
              <w:spacing w:after="0"/>
            </w:pPr>
            <w:r/>
            <w:r>
              <w:rPr>
                <w:rFonts w:ascii="Times New Roman" w:hAnsi="Times New Roman" w:eastAsia="Times New Roman"/>
                <w:b w:val="0"/>
                <w:sz w:val="15"/>
              </w:rPr>
              <w:t>Heatwave declared</w:t>
            </w:r>
          </w:p>
        </w:tc>
        <w:tc>
          <w:tcPr>
            <w:tcW w:type="dxa" w:w="1260"/>
            <w:vAlign w:val="top"/>
          </w:tcPr>
          <w:p>
            <w:pPr>
              <w:spacing w:after="0"/>
            </w:pPr>
            <w:r/>
            <w:r>
              <w:rPr>
                <w:rFonts w:ascii="Times New Roman" w:hAnsi="Times New Roman" w:eastAsia="Times New Roman"/>
                <w:b w:val="0"/>
                <w:sz w:val="15"/>
              </w:rPr>
              <w:t>Education Dept / school</w:t>
            </w:r>
          </w:p>
        </w:tc>
        <w:tc>
          <w:tcPr>
            <w:tcW w:type="dxa" w:w="1260"/>
            <w:vAlign w:val="top"/>
          </w:tcPr>
          <w:p>
            <w:pPr>
              <w:spacing w:after="0"/>
            </w:pPr>
            <w:r/>
            <w:r>
              <w:rPr>
                <w:rFonts w:ascii="Times New Roman" w:hAnsi="Times New Roman" w:eastAsia="Times New Roman"/>
                <w:b w:val="0"/>
                <w:sz w:val="15"/>
              </w:rPr>
              <w:t>...</w:t>
            </w:r>
          </w:p>
        </w:tc>
        <w:tc>
          <w:tcPr>
            <w:tcW w:type="dxa" w:w="1260"/>
            <w:vAlign w:val="top"/>
          </w:tcPr>
          <w:p>
            <w:pPr>
              <w:spacing w:after="0"/>
            </w:pPr>
            <w:r/>
            <w:r>
              <w:rPr>
                <w:rFonts w:ascii="Times New Roman" w:hAnsi="Times New Roman" w:eastAsia="Times New Roman"/>
                <w:b w:val="0"/>
                <w:sz w:val="15"/>
              </w:rPr>
              <w:t>...</w:t>
            </w:r>
          </w:p>
        </w:tc>
        <w:tc>
          <w:tcPr>
            <w:tcW w:type="dxa" w:w="1260"/>
            <w:vAlign w:val="top"/>
          </w:tcPr>
          <w:p>
            <w:pPr>
              <w:spacing w:after="0"/>
            </w:pPr>
            <w:r/>
            <w:r>
              <w:rPr>
                <w:rFonts w:ascii="Times New Roman" w:hAnsi="Times New Roman" w:eastAsia="Times New Roman"/>
                <w:b w:val="0"/>
                <w:sz w:val="15"/>
              </w:rPr>
              <w:t>...</w:t>
            </w:r>
          </w:p>
        </w:tc>
        <w:tc>
          <w:tcPr>
            <w:tcW w:type="dxa" w:w="1260"/>
            <w:vAlign w:val="top"/>
          </w:tcPr>
          <w:p>
            <w:pPr>
              <w:spacing w:after="0"/>
            </w:pPr>
            <w:r/>
            <w:r>
              <w:rPr>
                <w:rFonts w:ascii="Times New Roman" w:hAnsi="Times New Roman" w:eastAsia="Times New Roman"/>
                <w:b w:val="0"/>
                <w:sz w:val="15"/>
              </w:rPr>
              <w:t>...</w:t>
            </w:r>
          </w:p>
        </w:tc>
        <w:tc>
          <w:tcPr>
            <w:tcW w:type="dxa" w:w="1260"/>
            <w:vAlign w:val="top"/>
          </w:tcPr>
          <w:p>
            <w:pPr>
              <w:spacing w:after="0"/>
            </w:pPr>
            <w:r/>
            <w:r>
              <w:rPr>
                <w:rFonts w:ascii="Times New Roman" w:hAnsi="Times New Roman" w:eastAsia="Times New Roman"/>
                <w:b w:val="0"/>
                <w:sz w:val="15"/>
              </w:rPr>
              <w:t>...</w:t>
            </w:r>
          </w:p>
        </w:tc>
      </w:tr>
    </w:tbl>
    <w:p>
      <w:pPr>
        <w:pStyle w:val="Heading1"/>
      </w:pPr>
      <w:r>
        <w:t>APPENDIX E. FRAMEWORK REVISION 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D9EAF7"/>
          </w:tcPr>
          <w:p>
            <w:pPr>
              <w:spacing w:after="0"/>
            </w:pPr>
            <w:r/>
            <w:r>
              <w:rPr>
                <w:rFonts w:ascii="Times New Roman" w:hAnsi="Times New Roman" w:eastAsia="Times New Roman"/>
                <w:b/>
                <w:sz w:val="16"/>
              </w:rPr>
              <w:t>Initial proposition</w:t>
            </w:r>
          </w:p>
        </w:tc>
        <w:tc>
          <w:tcPr>
            <w:tcW w:type="dxa" w:w="2016"/>
            <w:vAlign w:val="top"/>
            <w:shd w:fill="D9EAF7"/>
          </w:tcPr>
          <w:p>
            <w:pPr>
              <w:spacing w:after="0"/>
            </w:pPr>
            <w:r/>
            <w:r>
              <w:rPr>
                <w:rFonts w:ascii="Times New Roman" w:hAnsi="Times New Roman" w:eastAsia="Times New Roman"/>
                <w:b/>
                <w:sz w:val="16"/>
              </w:rPr>
              <w:t>Supporting evidence</w:t>
            </w:r>
          </w:p>
        </w:tc>
        <w:tc>
          <w:tcPr>
            <w:tcW w:type="dxa" w:w="2016"/>
            <w:vAlign w:val="top"/>
            <w:shd w:fill="D9EAF7"/>
          </w:tcPr>
          <w:p>
            <w:pPr>
              <w:spacing w:after="0"/>
            </w:pPr>
            <w:r/>
            <w:r>
              <w:rPr>
                <w:rFonts w:ascii="Times New Roman" w:hAnsi="Times New Roman" w:eastAsia="Times New Roman"/>
                <w:b/>
                <w:sz w:val="16"/>
              </w:rPr>
              <w:t>Contradicting evidence</w:t>
            </w:r>
          </w:p>
        </w:tc>
        <w:tc>
          <w:tcPr>
            <w:tcW w:type="dxa" w:w="2016"/>
            <w:vAlign w:val="top"/>
            <w:shd w:fill="D9EAF7"/>
          </w:tcPr>
          <w:p>
            <w:pPr>
              <w:spacing w:after="0"/>
            </w:pPr>
            <w:r/>
            <w:r>
              <w:rPr>
                <w:rFonts w:ascii="Times New Roman" w:hAnsi="Times New Roman" w:eastAsia="Times New Roman"/>
                <w:b/>
                <w:sz w:val="16"/>
              </w:rPr>
              <w:t>Revision</w:t>
            </w:r>
          </w:p>
        </w:tc>
        <w:tc>
          <w:tcPr>
            <w:tcW w:type="dxa" w:w="2016"/>
            <w:vAlign w:val="top"/>
            <w:shd w:fill="D9EAF7"/>
          </w:tcPr>
          <w:p>
            <w:pPr>
              <w:spacing w:after="0"/>
            </w:pPr>
            <w:r/>
            <w:r>
              <w:rPr>
                <w:rFonts w:ascii="Times New Roman" w:hAnsi="Times New Roman" w:eastAsia="Times New Roman"/>
                <w:b/>
                <w:sz w:val="16"/>
              </w:rPr>
              <w:t>Residual uncertainty</w:t>
            </w:r>
          </w:p>
        </w:tc>
      </w:tr>
      <w:tr>
        <w:tc>
          <w:tcPr>
            <w:tcW w:type="dxa" w:w="2016"/>
            <w:vAlign w:val="top"/>
          </w:tcPr>
          <w:p>
            <w:pPr>
              <w:spacing w:after="0"/>
            </w:pPr>
            <w:r/>
            <w:r>
              <w:rPr>
                <w:rFonts w:ascii="Times New Roman" w:hAnsi="Times New Roman" w:eastAsia="Times New Roman"/>
                <w:b w:val="0"/>
                <w:sz w:val="16"/>
              </w:rPr>
              <w:t>P1...</w:t>
            </w:r>
          </w:p>
        </w:tc>
        <w:tc>
          <w:tcPr>
            <w:tcW w:type="dxa" w:w="2016"/>
            <w:vAlign w:val="top"/>
          </w:tcPr>
          <w:p>
            <w:pPr>
              <w:spacing w:after="0"/>
            </w:pPr>
            <w:r/>
            <w:r>
              <w:rPr>
                <w:rFonts w:ascii="Times New Roman" w:hAnsi="Times New Roman" w:eastAsia="Times New Roman"/>
                <w:b w:val="0"/>
                <w:sz w:val="16"/>
              </w:rPr>
              <w:t>...</w:t>
            </w:r>
          </w:p>
        </w:tc>
        <w:tc>
          <w:tcPr>
            <w:tcW w:type="dxa" w:w="2016"/>
            <w:vAlign w:val="top"/>
          </w:tcPr>
          <w:p>
            <w:pPr>
              <w:spacing w:after="0"/>
            </w:pPr>
            <w:r/>
            <w:r>
              <w:rPr>
                <w:rFonts w:ascii="Times New Roman" w:hAnsi="Times New Roman" w:eastAsia="Times New Roman"/>
                <w:b w:val="0"/>
                <w:sz w:val="16"/>
              </w:rPr>
              <w:t>...</w:t>
            </w:r>
          </w:p>
        </w:tc>
        <w:tc>
          <w:tcPr>
            <w:tcW w:type="dxa" w:w="2016"/>
            <w:vAlign w:val="top"/>
          </w:tcPr>
          <w:p>
            <w:pPr>
              <w:spacing w:after="0"/>
            </w:pPr>
            <w:r/>
            <w:r>
              <w:rPr>
                <w:rFonts w:ascii="Times New Roman" w:hAnsi="Times New Roman" w:eastAsia="Times New Roman"/>
                <w:b w:val="0"/>
                <w:sz w:val="16"/>
              </w:rPr>
              <w:t>...</w:t>
            </w:r>
          </w:p>
        </w:tc>
        <w:tc>
          <w:tcPr>
            <w:tcW w:type="dxa" w:w="2016"/>
            <w:vAlign w:val="top"/>
          </w:tcPr>
          <w:p>
            <w:pPr>
              <w:spacing w:after="0"/>
            </w:pPr>
            <w:r/>
            <w:r>
              <w:rPr>
                <w:rFonts w:ascii="Times New Roman" w:hAnsi="Times New Roman" w:eastAsia="Times New Roman"/>
                <w:b w:val="0"/>
                <w:sz w:val="16"/>
              </w:rPr>
              <w:t>...</w:t>
            </w:r>
          </w:p>
        </w:tc>
      </w:tr>
    </w:tbl>
    <w:sectPr w:rsidR="00FC693F" w:rsidRPr="0006063C" w:rsidSect="00034616">
      <w:headerReference w:type="default" r:id="rId9"/>
      <w:footerReference w:type="default" r:id="rId10"/>
      <w:pgSz w:w="12240" w:h="15840"/>
      <w:pgMar w:top="979"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6"/>
      </w:rPr>
      <w:t>West Delhi School Heatwave Research Proposal — Deep Critical Revision,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 Delhi Final Research Proposal - Deep Critical Consensus APA v2 2026</dc:title>
  <dc:subject>Heatwave governance and school action in West Delhi</dc:subject>
  <dc:creator>Hitesh</dc:creator>
  <cp:keywords/>
  <dc:description>generated by python-docx</dc:description>
  <cp:lastModifiedBy/>
  <cp:revision>1</cp:revision>
  <dcterms:created xsi:type="dcterms:W3CDTF">2013-12-23T23:15:00Z</dcterms:created>
  <dcterms:modified xsi:type="dcterms:W3CDTF">2013-12-23T23:15:00Z</dcterms:modified>
  <cp:category/>
</cp:coreProperties>
</file>