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40"/>
      </w:pPr>
      <w:r>
        <w:rPr>
          <w:rFonts w:ascii="Aptos Display" w:hAnsi="Aptos Display"/>
          <w:b/>
          <w:color w:val="2E74B5"/>
          <w:sz w:val="36"/>
        </w:rPr>
        <w:t>NUVRION</w:t>
      </w:r>
    </w:p>
    <w:p>
      <w:r>
        <w:rPr>
          <w:rFonts w:ascii="Aptos Display" w:hAnsi="Aptos Display"/>
          <w:b/>
          <w:color w:val="17365D"/>
          <w:sz w:val="56"/>
        </w:rPr>
        <w:t>Implementation Plan &amp; Milestone Backlog</w:t>
      </w:r>
    </w:p>
    <w:p>
      <w:pPr>
        <w:spacing w:after="480"/>
      </w:pPr>
      <w:r>
        <w:rPr>
          <w:color w:val="666666"/>
          <w:sz w:val="30"/>
        </w:rPr>
        <w:t>Execution Baseline for Nuvrion v0.1</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448"/>
            <w:shd w:fill="17365D"/>
            <w:tcMar>
              <w:top w:w="80" w:type="dxa"/>
              <w:start w:w="105" w:type="dxa"/>
              <w:bottom w:w="80" w:type="dxa"/>
              <w:end w:w="105" w:type="dxa"/>
            </w:tcMar>
          </w:tcPr>
          <w:p>
            <w:r>
              <w:rPr>
                <w:b/>
                <w:color w:val="FFFFFF"/>
                <w:sz w:val="17"/>
              </w:rPr>
              <w:t>Document control</w:t>
            </w:r>
          </w:p>
        </w:tc>
        <w:tc>
          <w:tcPr>
            <w:tcW w:type="dxa" w:w="6912"/>
            <w:shd w:fill="17365D"/>
            <w:tcMar>
              <w:top w:w="80" w:type="dxa"/>
              <w:start w:w="105" w:type="dxa"/>
              <w:bottom w:w="80" w:type="dxa"/>
              <w:end w:w="105" w:type="dxa"/>
            </w:tcMar>
          </w:tcPr>
          <w:p>
            <w:r>
              <w:rPr>
                <w:b/>
                <w:color w:val="FFFFFF"/>
                <w:sz w:val="17"/>
              </w:rPr>
              <w:t>Value</w:t>
            </w:r>
          </w:p>
        </w:tc>
      </w:tr>
      <w:tr>
        <w:trPr>
          <w:cantSplit w:val="true"/>
        </w:trPr>
        <w:tc>
          <w:tcPr>
            <w:tcW w:type="dxa" w:w="2448"/>
            <w:tcMar>
              <w:top w:w="80" w:type="dxa"/>
              <w:start w:w="105" w:type="dxa"/>
              <w:bottom w:w="80" w:type="dxa"/>
              <w:end w:w="105" w:type="dxa"/>
            </w:tcMar>
            <w:vAlign w:val="center"/>
          </w:tcPr>
          <w:p>
            <w:pPr>
              <w:spacing w:after="0"/>
            </w:pPr>
            <w:r>
              <w:rPr>
                <w:sz w:val="17"/>
              </w:rPr>
              <w:t>Document ID</w:t>
            </w:r>
          </w:p>
        </w:tc>
        <w:tc>
          <w:tcPr>
            <w:tcW w:type="dxa" w:w="6912"/>
            <w:tcMar>
              <w:top w:w="80" w:type="dxa"/>
              <w:start w:w="105" w:type="dxa"/>
              <w:bottom w:w="80" w:type="dxa"/>
              <w:end w:w="105" w:type="dxa"/>
            </w:tcMar>
            <w:vAlign w:val="center"/>
          </w:tcPr>
          <w:p>
            <w:pPr>
              <w:spacing w:after="0"/>
            </w:pPr>
            <w:r>
              <w:rPr>
                <w:sz w:val="17"/>
              </w:rPr>
              <w:t>NUV-IMP-001</w:t>
            </w:r>
          </w:p>
        </w:tc>
      </w:tr>
      <w:tr>
        <w:trPr>
          <w:cantSplit w:val="true"/>
        </w:trPr>
        <w:tc>
          <w:tcPr>
            <w:tcW w:type="dxa" w:w="2448"/>
            <w:tcMar>
              <w:top w:w="80" w:type="dxa"/>
              <w:start w:w="105" w:type="dxa"/>
              <w:bottom w:w="80" w:type="dxa"/>
              <w:end w:w="105" w:type="dxa"/>
            </w:tcMar>
            <w:vAlign w:val="center"/>
          </w:tcPr>
          <w:p>
            <w:pPr>
              <w:spacing w:after="0"/>
            </w:pPr>
            <w:r>
              <w:rPr>
                <w:sz w:val="17"/>
              </w:rPr>
              <w:t>Version</w:t>
            </w:r>
          </w:p>
        </w:tc>
        <w:tc>
          <w:tcPr>
            <w:tcW w:type="dxa" w:w="6912"/>
            <w:tcMar>
              <w:top w:w="80" w:type="dxa"/>
              <w:start w:w="105" w:type="dxa"/>
              <w:bottom w:w="80" w:type="dxa"/>
              <w:end w:w="105" w:type="dxa"/>
            </w:tcMar>
            <w:vAlign w:val="center"/>
          </w:tcPr>
          <w:p>
            <w:pPr>
              <w:spacing w:after="0"/>
            </w:pPr>
            <w:r>
              <w:rPr>
                <w:sz w:val="17"/>
              </w:rPr>
              <w:t>v0.1</w:t>
            </w:r>
          </w:p>
        </w:tc>
      </w:tr>
      <w:tr>
        <w:trPr>
          <w:cantSplit w:val="true"/>
        </w:trPr>
        <w:tc>
          <w:tcPr>
            <w:tcW w:type="dxa" w:w="2448"/>
            <w:tcMar>
              <w:top w:w="80" w:type="dxa"/>
              <w:start w:w="105" w:type="dxa"/>
              <w:bottom w:w="80" w:type="dxa"/>
              <w:end w:w="105" w:type="dxa"/>
            </w:tcMar>
            <w:vAlign w:val="center"/>
          </w:tcPr>
          <w:p>
            <w:pPr>
              <w:spacing w:after="0"/>
            </w:pPr>
            <w:r>
              <w:rPr>
                <w:sz w:val="17"/>
              </w:rPr>
              <w:t>Status</w:t>
            </w:r>
          </w:p>
        </w:tc>
        <w:tc>
          <w:tcPr>
            <w:tcW w:type="dxa" w:w="6912"/>
            <w:tcMar>
              <w:top w:w="80" w:type="dxa"/>
              <w:start w:w="105" w:type="dxa"/>
              <w:bottom w:w="80" w:type="dxa"/>
              <w:end w:w="105" w:type="dxa"/>
            </w:tcMar>
            <w:vAlign w:val="center"/>
          </w:tcPr>
          <w:p>
            <w:pPr>
              <w:spacing w:after="0"/>
            </w:pPr>
            <w:r>
              <w:rPr>
                <w:sz w:val="17"/>
              </w:rPr>
              <w:t>Draft — For Review</w:t>
            </w:r>
          </w:p>
        </w:tc>
      </w:tr>
      <w:tr>
        <w:trPr>
          <w:cantSplit w:val="true"/>
        </w:trPr>
        <w:tc>
          <w:tcPr>
            <w:tcW w:type="dxa" w:w="2448"/>
            <w:tcMar>
              <w:top w:w="80" w:type="dxa"/>
              <w:start w:w="105" w:type="dxa"/>
              <w:bottom w:w="80" w:type="dxa"/>
              <w:end w:w="105" w:type="dxa"/>
            </w:tcMar>
            <w:vAlign w:val="center"/>
          </w:tcPr>
          <w:p>
            <w:pPr>
              <w:spacing w:after="0"/>
            </w:pPr>
            <w:r>
              <w:rPr>
                <w:sz w:val="17"/>
              </w:rPr>
              <w:t>Governing Documents</w:t>
            </w:r>
          </w:p>
        </w:tc>
        <w:tc>
          <w:tcPr>
            <w:tcW w:type="dxa" w:w="6912"/>
            <w:tcMar>
              <w:top w:w="80" w:type="dxa"/>
              <w:start w:w="105" w:type="dxa"/>
              <w:bottom w:w="80" w:type="dxa"/>
              <w:end w:w="105" w:type="dxa"/>
            </w:tcMar>
            <w:vAlign w:val="center"/>
          </w:tcPr>
          <w:p>
            <w:pPr>
              <w:spacing w:after="0"/>
            </w:pPr>
            <w:r>
              <w:rPr>
                <w:sz w:val="17"/>
              </w:rPr>
              <w:t>NUV-PRD-001; NUV-TADS-001; NUV-DAPI-001</w:t>
            </w:r>
          </w:p>
        </w:tc>
      </w:tr>
      <w:tr>
        <w:trPr>
          <w:cantSplit w:val="true"/>
        </w:trPr>
        <w:tc>
          <w:tcPr>
            <w:tcW w:type="dxa" w:w="2448"/>
            <w:tcMar>
              <w:top w:w="80" w:type="dxa"/>
              <w:start w:w="105" w:type="dxa"/>
              <w:bottom w:w="80" w:type="dxa"/>
              <w:end w:w="105" w:type="dxa"/>
            </w:tcMar>
            <w:vAlign w:val="center"/>
          </w:tcPr>
          <w:p>
            <w:pPr>
              <w:spacing w:after="0"/>
            </w:pPr>
            <w:r>
              <w:rPr>
                <w:sz w:val="17"/>
              </w:rPr>
              <w:t>Planning Model</w:t>
            </w:r>
          </w:p>
        </w:tc>
        <w:tc>
          <w:tcPr>
            <w:tcW w:type="dxa" w:w="6912"/>
            <w:tcMar>
              <w:top w:w="80" w:type="dxa"/>
              <w:start w:w="105" w:type="dxa"/>
              <w:bottom w:w="80" w:type="dxa"/>
              <w:end w:w="105" w:type="dxa"/>
            </w:tcMar>
            <w:vAlign w:val="center"/>
          </w:tcPr>
          <w:p>
            <w:pPr>
              <w:spacing w:after="0"/>
            </w:pPr>
            <w:r>
              <w:rPr>
                <w:sz w:val="17"/>
              </w:rPr>
              <w:t>10 milestones; 16 two-week sprints; 32-week baseline</w:t>
            </w:r>
          </w:p>
        </w:tc>
      </w:tr>
      <w:tr>
        <w:trPr>
          <w:cantSplit w:val="true"/>
        </w:trPr>
        <w:tc>
          <w:tcPr>
            <w:tcW w:type="dxa" w:w="2448"/>
            <w:tcMar>
              <w:top w:w="80" w:type="dxa"/>
              <w:start w:w="105" w:type="dxa"/>
              <w:bottom w:w="80" w:type="dxa"/>
              <w:end w:w="105" w:type="dxa"/>
            </w:tcMar>
            <w:vAlign w:val="center"/>
          </w:tcPr>
          <w:p>
            <w:pPr>
              <w:spacing w:after="0"/>
            </w:pPr>
            <w:r>
              <w:rPr>
                <w:sz w:val="17"/>
              </w:rPr>
              <w:t>Reference Team</w:t>
            </w:r>
          </w:p>
        </w:tc>
        <w:tc>
          <w:tcPr>
            <w:tcW w:type="dxa" w:w="6912"/>
            <w:tcMar>
              <w:top w:w="80" w:type="dxa"/>
              <w:start w:w="105" w:type="dxa"/>
              <w:bottom w:w="80" w:type="dxa"/>
              <w:end w:w="105" w:type="dxa"/>
            </w:tcMar>
            <w:vAlign w:val="center"/>
          </w:tcPr>
          <w:p>
            <w:pPr>
              <w:spacing w:after="0"/>
            </w:pPr>
            <w:r>
              <w:rPr>
                <w:sz w:val="17"/>
              </w:rPr>
              <w:t>8 core FTE plus fractional security/UX/operations support</w:t>
            </w:r>
          </w:p>
        </w:tc>
      </w:tr>
      <w:tr>
        <w:trPr>
          <w:cantSplit w:val="true"/>
        </w:trPr>
        <w:tc>
          <w:tcPr>
            <w:tcW w:type="dxa" w:w="2448"/>
            <w:tcMar>
              <w:top w:w="80" w:type="dxa"/>
              <w:start w:w="105" w:type="dxa"/>
              <w:bottom w:w="80" w:type="dxa"/>
              <w:end w:w="105" w:type="dxa"/>
            </w:tcMar>
            <w:vAlign w:val="center"/>
          </w:tcPr>
          <w:p>
            <w:pPr>
              <w:spacing w:after="0"/>
            </w:pPr>
            <w:r>
              <w:rPr>
                <w:sz w:val="17"/>
              </w:rPr>
              <w:t>Classification</w:t>
            </w:r>
          </w:p>
        </w:tc>
        <w:tc>
          <w:tcPr>
            <w:tcW w:type="dxa" w:w="6912"/>
            <w:tcMar>
              <w:top w:w="80" w:type="dxa"/>
              <w:start w:w="105" w:type="dxa"/>
              <w:bottom w:w="80" w:type="dxa"/>
              <w:end w:w="105" w:type="dxa"/>
            </w:tcMar>
            <w:vAlign w:val="center"/>
          </w:tcPr>
          <w:p>
            <w:pPr>
              <w:spacing w:after="0"/>
            </w:pPr>
            <w:r>
              <w:rPr>
                <w:sz w:val="17"/>
              </w:rPr>
              <w:t>Product &amp; Engineering</w:t>
            </w:r>
          </w:p>
        </w:tc>
      </w:tr>
      <w:tr>
        <w:trPr>
          <w:cantSplit w:val="true"/>
        </w:trPr>
        <w:tc>
          <w:tcPr>
            <w:tcW w:type="dxa" w:w="2448"/>
            <w:tcMar>
              <w:top w:w="80" w:type="dxa"/>
              <w:start w:w="105" w:type="dxa"/>
              <w:bottom w:w="80" w:type="dxa"/>
              <w:end w:w="105" w:type="dxa"/>
            </w:tcMar>
            <w:vAlign w:val="center"/>
          </w:tcPr>
          <w:p>
            <w:pPr>
              <w:spacing w:after="0"/>
            </w:pPr>
            <w:r>
              <w:rPr>
                <w:sz w:val="17"/>
              </w:rPr>
              <w:t>Date</w:t>
            </w:r>
          </w:p>
        </w:tc>
        <w:tc>
          <w:tcPr>
            <w:tcW w:type="dxa" w:w="6912"/>
            <w:tcMar>
              <w:top w:w="80" w:type="dxa"/>
              <w:start w:w="105" w:type="dxa"/>
              <w:bottom w:w="80" w:type="dxa"/>
              <w:end w:w="105" w:type="dxa"/>
            </w:tcMar>
            <w:vAlign w:val="center"/>
          </w:tcPr>
          <w:p>
            <w:pPr>
              <w:spacing w:after="0"/>
            </w:pPr>
            <w:r>
              <w:rPr>
                <w:sz w:val="17"/>
              </w:rPr>
              <w:t>August 2026</w:t>
            </w:r>
          </w:p>
        </w:tc>
      </w:tr>
    </w:tbl>
    <w:p>
      <w:pPr>
        <w:spacing w:after="20"/>
      </w:pPr>
    </w:p>
    <w:p>
      <w:pPr>
        <w:spacing w:before="300"/>
      </w:pPr>
      <w:r>
        <w:rPr>
          <w:b/>
          <w:color w:val="2E74B5"/>
          <w:sz w:val="18"/>
        </w:rPr>
        <w:t>GOVERNING DELIVERY OBJECTIVE</w:t>
      </w:r>
    </w:p>
    <w:p>
      <w:pPr>
        <w:ind w:left="317"/>
      </w:pPr>
      <w:r>
        <w:rPr>
          <w:b/>
          <w:color w:val="17365D"/>
          <w:sz w:val="25"/>
        </w:rPr>
        <w:t>Deliver a secure, testable Nuvrion v0.1 through gated vertical slices, proving the platform and VMware path first, then adding Workstation, AWS, and Azure through the same contracts.</w:t>
      </w:r>
    </w:p>
    <w:p>
      <w:r>
        <w:br w:type="page"/>
      </w:r>
    </w:p>
    <w:p>
      <w:pPr>
        <w:pStyle w:val="Heading1"/>
        <w:keepNext/>
      </w:pPr>
      <w:r>
        <w:t>1. Executive Delivery Summary</w:t>
      </w:r>
    </w:p>
    <w:p>
      <w:r>
        <w:t>This plan converts the approved product, architecture, database, and API baselines into a sequenced engineering program. The schedule is a planning baseline, not a commitment: it assumes an eight-person core team, stable access to provider test environments, and timely architecture decisions. Each milestone exits only on objective evidence, not elapsed time.</w:t>
      </w:r>
    </w:p>
    <w:p>
      <w:pPr>
        <w:pStyle w:val="ListBullet"/>
      </w:pPr>
      <w:r>
        <w:t>Delivery model: two-week sprints with continuous integration and milestone release gates</w:t>
      </w:r>
    </w:p>
    <w:p>
      <w:pPr>
        <w:pStyle w:val="ListBullet"/>
      </w:pPr>
      <w:r>
        <w:t>Critical path: foundation → identity/data/task platform → VMware adapter → integrated UI → qualification → release candidate</w:t>
      </w:r>
    </w:p>
    <w:p>
      <w:pPr>
        <w:pStyle w:val="ListBullet"/>
      </w:pPr>
      <w:r>
        <w:t>Provider strategy: implement one end-to-end adapter before parallelizing Workstation, AWS, and Azure</w:t>
      </w:r>
    </w:p>
    <w:p>
      <w:pPr>
        <w:pStyle w:val="ListBullet"/>
      </w:pPr>
      <w:r>
        <w:t>Quality strategy: tests, security, auditability, documentation, and observability are backlog work, never closing activities</w:t>
      </w:r>
    </w:p>
    <w:p>
      <w:pPr>
        <w:pStyle w:val="ListBullet"/>
      </w:pPr>
      <w:r>
        <w:t>Change control: new v0.1 scope requires PRD impact, estimate, dependency, risk, and gate approval</w:t>
      </w:r>
    </w:p>
    <w:p>
      <w:pPr>
        <w:pStyle w:val="Heading1"/>
        <w:keepNext/>
      </w:pPr>
      <w:r>
        <w:t>2. Planning Assumptions and Constraints</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592"/>
            <w:shd w:fill="17365D"/>
            <w:tcMar>
              <w:top w:w="80" w:type="dxa"/>
              <w:start w:w="105" w:type="dxa"/>
              <w:bottom w:w="80" w:type="dxa"/>
              <w:end w:w="105" w:type="dxa"/>
            </w:tcMar>
          </w:tcPr>
          <w:p>
            <w:r>
              <w:rPr>
                <w:b/>
                <w:color w:val="FFFFFF"/>
                <w:sz w:val="17"/>
              </w:rPr>
              <w:t>Assumption</w:t>
            </w:r>
          </w:p>
        </w:tc>
        <w:tc>
          <w:tcPr>
            <w:tcW w:type="dxa" w:w="6768"/>
            <w:shd w:fill="17365D"/>
            <w:tcMar>
              <w:top w:w="80" w:type="dxa"/>
              <w:start w:w="105" w:type="dxa"/>
              <w:bottom w:w="80" w:type="dxa"/>
              <w:end w:w="105" w:type="dxa"/>
            </w:tcMar>
          </w:tcPr>
          <w:p>
            <w:r>
              <w:rPr>
                <w:b/>
                <w:color w:val="FFFFFF"/>
                <w:sz w:val="17"/>
              </w:rPr>
              <w:t>Baseline</w:t>
            </w:r>
          </w:p>
        </w:tc>
      </w:tr>
      <w:tr>
        <w:trPr>
          <w:cantSplit w:val="true"/>
        </w:trPr>
        <w:tc>
          <w:tcPr>
            <w:tcW w:type="dxa" w:w="2592"/>
            <w:tcMar>
              <w:top w:w="80" w:type="dxa"/>
              <w:start w:w="105" w:type="dxa"/>
              <w:bottom w:w="80" w:type="dxa"/>
              <w:end w:w="105" w:type="dxa"/>
            </w:tcMar>
            <w:vAlign w:val="center"/>
          </w:tcPr>
          <w:p>
            <w:pPr>
              <w:spacing w:after="0"/>
            </w:pPr>
            <w:r>
              <w:rPr>
                <w:sz w:val="17"/>
              </w:rPr>
              <w:t>Core team</w:t>
            </w:r>
          </w:p>
        </w:tc>
        <w:tc>
          <w:tcPr>
            <w:tcW w:type="dxa" w:w="6768"/>
            <w:tcMar>
              <w:top w:w="80" w:type="dxa"/>
              <w:start w:w="105" w:type="dxa"/>
              <w:bottom w:w="80" w:type="dxa"/>
              <w:end w:w="105" w:type="dxa"/>
            </w:tcMar>
            <w:vAlign w:val="center"/>
          </w:tcPr>
          <w:p>
            <w:pPr>
              <w:spacing w:after="0"/>
            </w:pPr>
            <w:r>
              <w:rPr>
                <w:sz w:val="17"/>
              </w:rPr>
              <w:t>1 product lead, 1 architecture/tech lead, 3 backend/platform engineers, 2 frontend engineers, 1 QA/SDET</w:t>
            </w:r>
          </w:p>
        </w:tc>
      </w:tr>
      <w:tr>
        <w:trPr>
          <w:cantSplit w:val="true"/>
        </w:trPr>
        <w:tc>
          <w:tcPr>
            <w:tcW w:type="dxa" w:w="2592"/>
            <w:tcMar>
              <w:top w:w="80" w:type="dxa"/>
              <w:start w:w="105" w:type="dxa"/>
              <w:bottom w:w="80" w:type="dxa"/>
              <w:end w:w="105" w:type="dxa"/>
            </w:tcMar>
            <w:vAlign w:val="center"/>
          </w:tcPr>
          <w:p>
            <w:pPr>
              <w:spacing w:after="0"/>
            </w:pPr>
            <w:r>
              <w:rPr>
                <w:sz w:val="17"/>
              </w:rPr>
              <w:t>Fractional support</w:t>
            </w:r>
          </w:p>
        </w:tc>
        <w:tc>
          <w:tcPr>
            <w:tcW w:type="dxa" w:w="6768"/>
            <w:tcMar>
              <w:top w:w="80" w:type="dxa"/>
              <w:start w:w="105" w:type="dxa"/>
              <w:bottom w:w="80" w:type="dxa"/>
              <w:end w:w="105" w:type="dxa"/>
            </w:tcMar>
            <w:vAlign w:val="center"/>
          </w:tcPr>
          <w:p>
            <w:pPr>
              <w:spacing w:after="0"/>
            </w:pPr>
            <w:r>
              <w:rPr>
                <w:sz w:val="17"/>
              </w:rPr>
              <w:t>Security, UX, DevOps/SRE, technical writing, provider SMEs</w:t>
            </w:r>
          </w:p>
        </w:tc>
      </w:tr>
      <w:tr>
        <w:trPr>
          <w:cantSplit w:val="true"/>
        </w:trPr>
        <w:tc>
          <w:tcPr>
            <w:tcW w:type="dxa" w:w="2592"/>
            <w:tcMar>
              <w:top w:w="80" w:type="dxa"/>
              <w:start w:w="105" w:type="dxa"/>
              <w:bottom w:w="80" w:type="dxa"/>
              <w:end w:w="105" w:type="dxa"/>
            </w:tcMar>
            <w:vAlign w:val="center"/>
          </w:tcPr>
          <w:p>
            <w:pPr>
              <w:spacing w:after="0"/>
            </w:pPr>
            <w:r>
              <w:rPr>
                <w:sz w:val="17"/>
              </w:rPr>
              <w:t>Cadence</w:t>
            </w:r>
          </w:p>
        </w:tc>
        <w:tc>
          <w:tcPr>
            <w:tcW w:type="dxa" w:w="6768"/>
            <w:tcMar>
              <w:top w:w="80" w:type="dxa"/>
              <w:start w:w="105" w:type="dxa"/>
              <w:bottom w:w="80" w:type="dxa"/>
              <w:end w:w="105" w:type="dxa"/>
            </w:tcMar>
            <w:vAlign w:val="center"/>
          </w:tcPr>
          <w:p>
            <w:pPr>
              <w:spacing w:after="0"/>
            </w:pPr>
            <w:r>
              <w:rPr>
                <w:sz w:val="17"/>
              </w:rPr>
              <w:t>16 two-week sprints; milestone demonstrations at gate boundaries</w:t>
            </w:r>
          </w:p>
        </w:tc>
      </w:tr>
      <w:tr>
        <w:trPr>
          <w:cantSplit w:val="true"/>
        </w:trPr>
        <w:tc>
          <w:tcPr>
            <w:tcW w:type="dxa" w:w="2592"/>
            <w:tcMar>
              <w:top w:w="80" w:type="dxa"/>
              <w:start w:w="105" w:type="dxa"/>
              <w:bottom w:w="80" w:type="dxa"/>
              <w:end w:w="105" w:type="dxa"/>
            </w:tcMar>
            <w:vAlign w:val="center"/>
          </w:tcPr>
          <w:p>
            <w:pPr>
              <w:spacing w:after="0"/>
            </w:pPr>
            <w:r>
              <w:rPr>
                <w:sz w:val="17"/>
              </w:rPr>
              <w:t>Environments</w:t>
            </w:r>
          </w:p>
        </w:tc>
        <w:tc>
          <w:tcPr>
            <w:tcW w:type="dxa" w:w="6768"/>
            <w:tcMar>
              <w:top w:w="80" w:type="dxa"/>
              <w:start w:w="105" w:type="dxa"/>
              <w:bottom w:w="80" w:type="dxa"/>
              <w:end w:w="105" w:type="dxa"/>
            </w:tcMar>
            <w:vAlign w:val="center"/>
          </w:tcPr>
          <w:p>
            <w:pPr>
              <w:spacing w:after="0"/>
            </w:pPr>
            <w:r>
              <w:rPr>
                <w:sz w:val="17"/>
              </w:rPr>
              <w:t>Local, CI, integration, provider sandbox/lab, staging/release candidate</w:t>
            </w:r>
          </w:p>
        </w:tc>
      </w:tr>
      <w:tr>
        <w:trPr>
          <w:cantSplit w:val="true"/>
        </w:trPr>
        <w:tc>
          <w:tcPr>
            <w:tcW w:type="dxa" w:w="2592"/>
            <w:tcMar>
              <w:top w:w="80" w:type="dxa"/>
              <w:start w:w="105" w:type="dxa"/>
              <w:bottom w:w="80" w:type="dxa"/>
              <w:end w:w="105" w:type="dxa"/>
            </w:tcMar>
            <w:vAlign w:val="center"/>
          </w:tcPr>
          <w:p>
            <w:pPr>
              <w:spacing w:after="0"/>
            </w:pPr>
            <w:r>
              <w:rPr>
                <w:sz w:val="17"/>
              </w:rPr>
              <w:t>Provider access</w:t>
            </w:r>
          </w:p>
        </w:tc>
        <w:tc>
          <w:tcPr>
            <w:tcW w:type="dxa" w:w="6768"/>
            <w:tcMar>
              <w:top w:w="80" w:type="dxa"/>
              <w:start w:w="105" w:type="dxa"/>
              <w:bottom w:w="80" w:type="dxa"/>
              <w:end w:w="105" w:type="dxa"/>
            </w:tcMar>
            <w:vAlign w:val="center"/>
          </w:tcPr>
          <w:p>
            <w:pPr>
              <w:spacing w:after="0"/>
            </w:pPr>
            <w:r>
              <w:rPr>
                <w:sz w:val="17"/>
              </w:rPr>
              <w:t>vCenter/ESXi lab first; Workstation endpoints; AWS test account; Azure test subscription</w:t>
            </w:r>
          </w:p>
        </w:tc>
      </w:tr>
      <w:tr>
        <w:trPr>
          <w:cantSplit w:val="true"/>
        </w:trPr>
        <w:tc>
          <w:tcPr>
            <w:tcW w:type="dxa" w:w="2592"/>
            <w:tcMar>
              <w:top w:w="80" w:type="dxa"/>
              <w:start w:w="105" w:type="dxa"/>
              <w:bottom w:w="80" w:type="dxa"/>
              <w:end w:w="105" w:type="dxa"/>
            </w:tcMar>
            <w:vAlign w:val="center"/>
          </w:tcPr>
          <w:p>
            <w:pPr>
              <w:spacing w:after="0"/>
            </w:pPr>
            <w:r>
              <w:rPr>
                <w:sz w:val="17"/>
              </w:rPr>
              <w:t>Delivery confidence</w:t>
            </w:r>
          </w:p>
        </w:tc>
        <w:tc>
          <w:tcPr>
            <w:tcW w:type="dxa" w:w="6768"/>
            <w:tcMar>
              <w:top w:w="80" w:type="dxa"/>
              <w:start w:w="105" w:type="dxa"/>
              <w:bottom w:w="80" w:type="dxa"/>
              <w:end w:w="105" w:type="dxa"/>
            </w:tcMar>
            <w:vAlign w:val="center"/>
          </w:tcPr>
          <w:p>
            <w:pPr>
              <w:spacing w:after="0"/>
            </w:pPr>
            <w:r>
              <w:rPr>
                <w:sz w:val="17"/>
              </w:rPr>
              <w:t>Range-based; ±25% until Milestone 3 VMware spike and broker/agent decisions close</w:t>
            </w:r>
          </w:p>
        </w:tc>
      </w:tr>
      <w:tr>
        <w:trPr>
          <w:cantSplit w:val="true"/>
        </w:trPr>
        <w:tc>
          <w:tcPr>
            <w:tcW w:type="dxa" w:w="2592"/>
            <w:tcMar>
              <w:top w:w="80" w:type="dxa"/>
              <w:start w:w="105" w:type="dxa"/>
              <w:bottom w:w="80" w:type="dxa"/>
              <w:end w:w="105" w:type="dxa"/>
            </w:tcMar>
            <w:vAlign w:val="center"/>
          </w:tcPr>
          <w:p>
            <w:pPr>
              <w:spacing w:after="0"/>
            </w:pPr>
            <w:r>
              <w:rPr>
                <w:sz w:val="17"/>
              </w:rPr>
              <w:t>Scope boundary</w:t>
            </w:r>
          </w:p>
        </w:tc>
        <w:tc>
          <w:tcPr>
            <w:tcW w:type="dxa" w:w="6768"/>
            <w:tcMar>
              <w:top w:w="80" w:type="dxa"/>
              <w:start w:w="105" w:type="dxa"/>
              <w:bottom w:w="80" w:type="dxa"/>
              <w:end w:w="105" w:type="dxa"/>
            </w:tcMar>
            <w:vAlign w:val="center"/>
          </w:tcPr>
          <w:p>
            <w:pPr>
              <w:spacing w:after="0"/>
            </w:pPr>
            <w:r>
              <w:rPr>
                <w:sz w:val="17"/>
              </w:rPr>
              <w:t>Start/stop/restart, discovery/inventory, tasks, audit, health, search, RBAC; PRD exclusions remain excluded</w:t>
            </w:r>
          </w:p>
        </w:tc>
      </w:tr>
    </w:tbl>
    <w:p>
      <w:pPr>
        <w:spacing w:after="20"/>
      </w:pPr>
    </w:p>
    <w:p>
      <w:pPr>
        <w:pStyle w:val="Heading2"/>
        <w:keepNext/>
      </w:pPr>
      <w:r>
        <w:t>2.1 Schedule controls</w:t>
      </w:r>
    </w:p>
    <w:p>
      <w:pPr>
        <w:pStyle w:val="ListBullet"/>
      </w:pPr>
      <w:r>
        <w:t>Do not compress security, recovery, or provider-state verification to recover schedule</w:t>
      </w:r>
    </w:p>
    <w:p>
      <w:pPr>
        <w:pStyle w:val="ListBullet"/>
      </w:pPr>
      <w:r>
        <w:t>Use feature flags for incomplete provider/UI capability, not for bypassing authorization</w:t>
      </w:r>
    </w:p>
    <w:p>
      <w:pPr>
        <w:pStyle w:val="ListBullet"/>
      </w:pPr>
      <w:r>
        <w:t>Reforecast after Milestones 2, 4, and 8 using measured throughput and defect discovery</w:t>
      </w:r>
    </w:p>
    <w:p>
      <w:pPr>
        <w:pStyle w:val="ListBullet"/>
      </w:pPr>
      <w:r>
        <w:t>A milestone may overlap its successor only when all predecessor interface contracts are stable</w:t>
      </w:r>
    </w:p>
    <w:p>
      <w:pPr>
        <w:pStyle w:val="Heading1"/>
        <w:keepNext/>
      </w:pPr>
      <w:r>
        <w:t>3. Delivery Organization and Ownership</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448"/>
            <w:shd w:fill="17365D"/>
            <w:tcMar>
              <w:top w:w="80" w:type="dxa"/>
              <w:start w:w="105" w:type="dxa"/>
              <w:bottom w:w="80" w:type="dxa"/>
              <w:end w:w="105" w:type="dxa"/>
            </w:tcMar>
          </w:tcPr>
          <w:p>
            <w:r>
              <w:rPr>
                <w:b/>
                <w:color w:val="FFFFFF"/>
                <w:sz w:val="17"/>
              </w:rPr>
              <w:t>Role</w:t>
            </w:r>
          </w:p>
        </w:tc>
        <w:tc>
          <w:tcPr>
            <w:tcW w:type="dxa" w:w="6912"/>
            <w:shd w:fill="17365D"/>
            <w:tcMar>
              <w:top w:w="80" w:type="dxa"/>
              <w:start w:w="105" w:type="dxa"/>
              <w:bottom w:w="80" w:type="dxa"/>
              <w:end w:w="105" w:type="dxa"/>
            </w:tcMar>
          </w:tcPr>
          <w:p>
            <w:r>
              <w:rPr>
                <w:b/>
                <w:color w:val="FFFFFF"/>
                <w:sz w:val="17"/>
              </w:rPr>
              <w:t>Accountabilities</w:t>
            </w:r>
          </w:p>
        </w:tc>
      </w:tr>
      <w:tr>
        <w:trPr>
          <w:cantSplit w:val="true"/>
        </w:trPr>
        <w:tc>
          <w:tcPr>
            <w:tcW w:type="dxa" w:w="2448"/>
            <w:tcMar>
              <w:top w:w="80" w:type="dxa"/>
              <w:start w:w="105" w:type="dxa"/>
              <w:bottom w:w="80" w:type="dxa"/>
              <w:end w:w="105" w:type="dxa"/>
            </w:tcMar>
            <w:vAlign w:val="center"/>
          </w:tcPr>
          <w:p>
            <w:pPr>
              <w:spacing w:after="0"/>
            </w:pPr>
            <w:r>
              <w:rPr>
                <w:sz w:val="17"/>
              </w:rPr>
              <w:t>Product Lead</w:t>
            </w:r>
          </w:p>
        </w:tc>
        <w:tc>
          <w:tcPr>
            <w:tcW w:type="dxa" w:w="6912"/>
            <w:tcMar>
              <w:top w:w="80" w:type="dxa"/>
              <w:start w:w="105" w:type="dxa"/>
              <w:bottom w:w="80" w:type="dxa"/>
              <w:end w:w="105" w:type="dxa"/>
            </w:tcMar>
            <w:vAlign w:val="center"/>
          </w:tcPr>
          <w:p>
            <w:pPr>
              <w:spacing w:after="0"/>
            </w:pPr>
            <w:r>
              <w:rPr>
                <w:sz w:val="17"/>
              </w:rPr>
              <w:t>Scope, priorities, acceptance, stakeholder decisions, release approval</w:t>
            </w:r>
          </w:p>
        </w:tc>
      </w:tr>
      <w:tr>
        <w:trPr>
          <w:cantSplit w:val="true"/>
        </w:trPr>
        <w:tc>
          <w:tcPr>
            <w:tcW w:type="dxa" w:w="2448"/>
            <w:tcMar>
              <w:top w:w="80" w:type="dxa"/>
              <w:start w:w="105" w:type="dxa"/>
              <w:bottom w:w="80" w:type="dxa"/>
              <w:end w:w="105" w:type="dxa"/>
            </w:tcMar>
            <w:vAlign w:val="center"/>
          </w:tcPr>
          <w:p>
            <w:pPr>
              <w:spacing w:after="0"/>
            </w:pPr>
            <w:r>
              <w:rPr>
                <w:sz w:val="17"/>
              </w:rPr>
              <w:t>Architecture / Tech Lead</w:t>
            </w:r>
          </w:p>
        </w:tc>
        <w:tc>
          <w:tcPr>
            <w:tcW w:type="dxa" w:w="6912"/>
            <w:tcMar>
              <w:top w:w="80" w:type="dxa"/>
              <w:start w:w="105" w:type="dxa"/>
              <w:bottom w:w="80" w:type="dxa"/>
              <w:end w:w="105" w:type="dxa"/>
            </w:tcMar>
            <w:vAlign w:val="center"/>
          </w:tcPr>
          <w:p>
            <w:pPr>
              <w:spacing w:after="0"/>
            </w:pPr>
            <w:r>
              <w:rPr>
                <w:sz w:val="17"/>
              </w:rPr>
              <w:t>ADRs, module boundaries, design reviews, cross-cutting quality, technical risk</w:t>
            </w:r>
          </w:p>
        </w:tc>
      </w:tr>
      <w:tr>
        <w:trPr>
          <w:cantSplit w:val="true"/>
        </w:trPr>
        <w:tc>
          <w:tcPr>
            <w:tcW w:type="dxa" w:w="2448"/>
            <w:tcMar>
              <w:top w:w="80" w:type="dxa"/>
              <w:start w:w="105" w:type="dxa"/>
              <w:bottom w:w="80" w:type="dxa"/>
              <w:end w:w="105" w:type="dxa"/>
            </w:tcMar>
            <w:vAlign w:val="center"/>
          </w:tcPr>
          <w:p>
            <w:pPr>
              <w:spacing w:after="0"/>
            </w:pPr>
            <w:r>
              <w:rPr>
                <w:sz w:val="17"/>
              </w:rPr>
              <w:t>Backend / Platform</w:t>
            </w:r>
          </w:p>
        </w:tc>
        <w:tc>
          <w:tcPr>
            <w:tcW w:type="dxa" w:w="6912"/>
            <w:tcMar>
              <w:top w:w="80" w:type="dxa"/>
              <w:start w:w="105" w:type="dxa"/>
              <w:bottom w:w="80" w:type="dxa"/>
              <w:end w:w="105" w:type="dxa"/>
            </w:tcMar>
            <w:vAlign w:val="center"/>
          </w:tcPr>
          <w:p>
            <w:pPr>
              <w:spacing w:after="0"/>
            </w:pPr>
            <w:r>
              <w:rPr>
                <w:sz w:val="17"/>
              </w:rPr>
              <w:t>Identity, database, APIs, tasks, audit, providers, agent gateway</w:t>
            </w:r>
          </w:p>
        </w:tc>
      </w:tr>
      <w:tr>
        <w:trPr>
          <w:cantSplit w:val="true"/>
        </w:trPr>
        <w:tc>
          <w:tcPr>
            <w:tcW w:type="dxa" w:w="2448"/>
            <w:tcMar>
              <w:top w:w="80" w:type="dxa"/>
              <w:start w:w="105" w:type="dxa"/>
              <w:bottom w:w="80" w:type="dxa"/>
              <w:end w:w="105" w:type="dxa"/>
            </w:tcMar>
            <w:vAlign w:val="center"/>
          </w:tcPr>
          <w:p>
            <w:pPr>
              <w:spacing w:after="0"/>
            </w:pPr>
            <w:r>
              <w:rPr>
                <w:sz w:val="17"/>
              </w:rPr>
              <w:t>Frontend</w:t>
            </w:r>
          </w:p>
        </w:tc>
        <w:tc>
          <w:tcPr>
            <w:tcW w:type="dxa" w:w="6912"/>
            <w:tcMar>
              <w:top w:w="80" w:type="dxa"/>
              <w:start w:w="105" w:type="dxa"/>
              <w:bottom w:w="80" w:type="dxa"/>
              <w:end w:w="105" w:type="dxa"/>
            </w:tcMar>
            <w:vAlign w:val="center"/>
          </w:tcPr>
          <w:p>
            <w:pPr>
              <w:spacing w:after="0"/>
            </w:pPr>
            <w:r>
              <w:rPr>
                <w:sz w:val="17"/>
              </w:rPr>
              <w:t>Design system, navigation, inventory, details, task/admin workflows, accessibility</w:t>
            </w:r>
          </w:p>
        </w:tc>
      </w:tr>
      <w:tr>
        <w:trPr>
          <w:cantSplit w:val="true"/>
        </w:trPr>
        <w:tc>
          <w:tcPr>
            <w:tcW w:type="dxa" w:w="2448"/>
            <w:tcMar>
              <w:top w:w="80" w:type="dxa"/>
              <w:start w:w="105" w:type="dxa"/>
              <w:bottom w:w="80" w:type="dxa"/>
              <w:end w:w="105" w:type="dxa"/>
            </w:tcMar>
            <w:vAlign w:val="center"/>
          </w:tcPr>
          <w:p>
            <w:pPr>
              <w:spacing w:after="0"/>
            </w:pPr>
            <w:r>
              <w:rPr>
                <w:sz w:val="17"/>
              </w:rPr>
              <w:t>QA / SDET</w:t>
            </w:r>
          </w:p>
        </w:tc>
        <w:tc>
          <w:tcPr>
            <w:tcW w:type="dxa" w:w="6912"/>
            <w:tcMar>
              <w:top w:w="80" w:type="dxa"/>
              <w:start w:w="105" w:type="dxa"/>
              <w:bottom w:w="80" w:type="dxa"/>
              <w:end w:w="105" w:type="dxa"/>
            </w:tcMar>
            <w:vAlign w:val="center"/>
          </w:tcPr>
          <w:p>
            <w:pPr>
              <w:spacing w:after="0"/>
            </w:pPr>
            <w:r>
              <w:rPr>
                <w:sz w:val="17"/>
              </w:rPr>
              <w:t>Test strategy, automation, environments, traceability, quality evidence</w:t>
            </w:r>
          </w:p>
        </w:tc>
      </w:tr>
      <w:tr>
        <w:trPr>
          <w:cantSplit w:val="true"/>
        </w:trPr>
        <w:tc>
          <w:tcPr>
            <w:tcW w:type="dxa" w:w="2448"/>
            <w:tcMar>
              <w:top w:w="80" w:type="dxa"/>
              <w:start w:w="105" w:type="dxa"/>
              <w:bottom w:w="80" w:type="dxa"/>
              <w:end w:w="105" w:type="dxa"/>
            </w:tcMar>
            <w:vAlign w:val="center"/>
          </w:tcPr>
          <w:p>
            <w:pPr>
              <w:spacing w:after="0"/>
            </w:pPr>
            <w:r>
              <w:rPr>
                <w:sz w:val="17"/>
              </w:rPr>
              <w:t>Security</w:t>
            </w:r>
          </w:p>
        </w:tc>
        <w:tc>
          <w:tcPr>
            <w:tcW w:type="dxa" w:w="6912"/>
            <w:tcMar>
              <w:top w:w="80" w:type="dxa"/>
              <w:start w:w="105" w:type="dxa"/>
              <w:bottom w:w="80" w:type="dxa"/>
              <w:end w:w="105" w:type="dxa"/>
            </w:tcMar>
            <w:vAlign w:val="center"/>
          </w:tcPr>
          <w:p>
            <w:pPr>
              <w:spacing w:after="0"/>
            </w:pPr>
            <w:r>
              <w:rPr>
                <w:sz w:val="17"/>
              </w:rPr>
              <w:t>Threat model, secure design, scanning, penetration findings, risk acceptance</w:t>
            </w:r>
          </w:p>
        </w:tc>
      </w:tr>
      <w:tr>
        <w:trPr>
          <w:cantSplit w:val="true"/>
        </w:trPr>
        <w:tc>
          <w:tcPr>
            <w:tcW w:type="dxa" w:w="2448"/>
            <w:tcMar>
              <w:top w:w="80" w:type="dxa"/>
              <w:start w:w="105" w:type="dxa"/>
              <w:bottom w:w="80" w:type="dxa"/>
              <w:end w:w="105" w:type="dxa"/>
            </w:tcMar>
            <w:vAlign w:val="center"/>
          </w:tcPr>
          <w:p>
            <w:pPr>
              <w:spacing w:after="0"/>
            </w:pPr>
            <w:r>
              <w:rPr>
                <w:sz w:val="17"/>
              </w:rPr>
              <w:t>DevOps / SRE</w:t>
            </w:r>
          </w:p>
        </w:tc>
        <w:tc>
          <w:tcPr>
            <w:tcW w:type="dxa" w:w="6912"/>
            <w:tcMar>
              <w:top w:w="80" w:type="dxa"/>
              <w:start w:w="105" w:type="dxa"/>
              <w:bottom w:w="80" w:type="dxa"/>
              <w:end w:w="105" w:type="dxa"/>
            </w:tcMar>
            <w:vAlign w:val="center"/>
          </w:tcPr>
          <w:p>
            <w:pPr>
              <w:spacing w:after="0"/>
            </w:pPr>
            <w:r>
              <w:rPr>
                <w:sz w:val="17"/>
              </w:rPr>
              <w:t>CI/CD, deployment, telemetry, backup/restore, reliability qualification</w:t>
            </w:r>
          </w:p>
        </w:tc>
      </w:tr>
      <w:tr>
        <w:trPr>
          <w:cantSplit w:val="true"/>
        </w:trPr>
        <w:tc>
          <w:tcPr>
            <w:tcW w:type="dxa" w:w="2448"/>
            <w:tcMar>
              <w:top w:w="80" w:type="dxa"/>
              <w:start w:w="105" w:type="dxa"/>
              <w:bottom w:w="80" w:type="dxa"/>
              <w:end w:w="105" w:type="dxa"/>
            </w:tcMar>
            <w:vAlign w:val="center"/>
          </w:tcPr>
          <w:p>
            <w:pPr>
              <w:spacing w:after="0"/>
            </w:pPr>
            <w:r>
              <w:rPr>
                <w:sz w:val="17"/>
              </w:rPr>
              <w:t>UX</w:t>
            </w:r>
          </w:p>
        </w:tc>
        <w:tc>
          <w:tcPr>
            <w:tcW w:type="dxa" w:w="6912"/>
            <w:tcMar>
              <w:top w:w="80" w:type="dxa"/>
              <w:start w:w="105" w:type="dxa"/>
              <w:bottom w:w="80" w:type="dxa"/>
              <w:end w:w="105" w:type="dxa"/>
            </w:tcMar>
            <w:vAlign w:val="center"/>
          </w:tcPr>
          <w:p>
            <w:pPr>
              <w:spacing w:after="0"/>
            </w:pPr>
            <w:r>
              <w:rPr>
                <w:sz w:val="17"/>
              </w:rPr>
              <w:t>Research, interaction specification, accessibility, usability validation</w:t>
            </w:r>
          </w:p>
        </w:tc>
      </w:tr>
      <w:tr>
        <w:trPr>
          <w:cantSplit w:val="true"/>
        </w:trPr>
        <w:tc>
          <w:tcPr>
            <w:tcW w:type="dxa" w:w="2448"/>
            <w:tcMar>
              <w:top w:w="80" w:type="dxa"/>
              <w:start w:w="105" w:type="dxa"/>
              <w:bottom w:w="80" w:type="dxa"/>
              <w:end w:w="105" w:type="dxa"/>
            </w:tcMar>
            <w:vAlign w:val="center"/>
          </w:tcPr>
          <w:p>
            <w:pPr>
              <w:spacing w:after="0"/>
            </w:pPr>
            <w:r>
              <w:rPr>
                <w:sz w:val="17"/>
              </w:rPr>
              <w:t>Technical Writer</w:t>
            </w:r>
          </w:p>
        </w:tc>
        <w:tc>
          <w:tcPr>
            <w:tcW w:type="dxa" w:w="6912"/>
            <w:tcMar>
              <w:top w:w="80" w:type="dxa"/>
              <w:start w:w="105" w:type="dxa"/>
              <w:bottom w:w="80" w:type="dxa"/>
              <w:end w:w="105" w:type="dxa"/>
            </w:tcMar>
            <w:vAlign w:val="center"/>
          </w:tcPr>
          <w:p>
            <w:pPr>
              <w:spacing w:after="0"/>
            </w:pPr>
            <w:r>
              <w:rPr>
                <w:sz w:val="17"/>
              </w:rPr>
              <w:t>Install/admin/provider setup, operations, recovery, known limitations</w:t>
            </w:r>
          </w:p>
        </w:tc>
      </w:tr>
    </w:tbl>
    <w:p>
      <w:pPr>
        <w:spacing w:after="20"/>
      </w:pPr>
    </w:p>
    <w:p>
      <w:pPr>
        <w:pStyle w:val="Heading2"/>
        <w:keepNext/>
      </w:pPr>
      <w:r>
        <w:t>3.1 Decision rights</w:t>
      </w:r>
    </w:p>
    <w:p>
      <w:pPr>
        <w:pStyle w:val="ListBullet"/>
      </w:pPr>
      <w:r>
        <w:t>Product Lead owns scope and acceptance trade-offs</w:t>
      </w:r>
    </w:p>
    <w:p>
      <w:pPr>
        <w:pStyle w:val="ListBullet"/>
      </w:pPr>
      <w:r>
        <w:t>Tech Lead owns architecture conformity and technical gate readiness</w:t>
      </w:r>
    </w:p>
    <w:p>
      <w:pPr>
        <w:pStyle w:val="ListBullet"/>
      </w:pPr>
      <w:r>
        <w:t>Security owns severity classification; Product and Security jointly approve any formal risk acceptance</w:t>
      </w:r>
    </w:p>
    <w:p>
      <w:pPr>
        <w:pStyle w:val="ListBullet"/>
      </w:pPr>
      <w:r>
        <w:t>QA owns evidence completeness but does not independently waive requirements</w:t>
      </w:r>
    </w:p>
    <w:p>
      <w:pPr>
        <w:pStyle w:val="ListBullet"/>
      </w:pPr>
      <w:r>
        <w:t>Release requires Product, Engineering, QA, Security, and Operations sign-off</w:t>
      </w:r>
    </w:p>
    <w:p>
      <w:pPr>
        <w:pStyle w:val="Heading1"/>
        <w:keepNext/>
      </w:pPr>
      <w:r>
        <w:t>4. Repository and Solution Structure</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3024"/>
            <w:shd w:fill="17365D"/>
            <w:tcMar>
              <w:top w:w="80" w:type="dxa"/>
              <w:start w:w="105" w:type="dxa"/>
              <w:bottom w:w="80" w:type="dxa"/>
              <w:end w:w="105" w:type="dxa"/>
            </w:tcMar>
          </w:tcPr>
          <w:p>
            <w:r>
              <w:rPr>
                <w:b/>
                <w:color w:val="FFFFFF"/>
                <w:sz w:val="17"/>
              </w:rPr>
              <w:t>Path</w:t>
            </w:r>
          </w:p>
        </w:tc>
        <w:tc>
          <w:tcPr>
            <w:tcW w:type="dxa" w:w="6336"/>
            <w:shd w:fill="17365D"/>
            <w:tcMar>
              <w:top w:w="80" w:type="dxa"/>
              <w:start w:w="105" w:type="dxa"/>
              <w:bottom w:w="80" w:type="dxa"/>
              <w:end w:w="105" w:type="dxa"/>
            </w:tcMar>
          </w:tcPr>
          <w:p>
            <w:r>
              <w:rPr>
                <w:b/>
                <w:color w:val="FFFFFF"/>
                <w:sz w:val="17"/>
              </w:rPr>
              <w:t>Purpose</w:t>
            </w:r>
          </w:p>
        </w:tc>
      </w:tr>
      <w:tr>
        <w:trPr>
          <w:cantSplit w:val="true"/>
        </w:trPr>
        <w:tc>
          <w:tcPr>
            <w:tcW w:type="dxa" w:w="3024"/>
            <w:tcMar>
              <w:top w:w="80" w:type="dxa"/>
              <w:start w:w="105" w:type="dxa"/>
              <w:bottom w:w="80" w:type="dxa"/>
              <w:end w:w="105" w:type="dxa"/>
            </w:tcMar>
            <w:vAlign w:val="center"/>
          </w:tcPr>
          <w:p>
            <w:pPr>
              <w:spacing w:after="0"/>
            </w:pPr>
            <w:r>
              <w:rPr>
                <w:sz w:val="17"/>
              </w:rPr>
              <w:t>apps/web</w:t>
            </w:r>
          </w:p>
        </w:tc>
        <w:tc>
          <w:tcPr>
            <w:tcW w:type="dxa" w:w="6336"/>
            <w:tcMar>
              <w:top w:w="80" w:type="dxa"/>
              <w:start w:w="105" w:type="dxa"/>
              <w:bottom w:w="80" w:type="dxa"/>
              <w:end w:w="105" w:type="dxa"/>
            </w:tcMar>
            <w:vAlign w:val="center"/>
          </w:tcPr>
          <w:p>
            <w:pPr>
              <w:spacing w:after="0"/>
            </w:pPr>
            <w:r>
              <w:rPr>
                <w:sz w:val="17"/>
              </w:rPr>
              <w:t>React/TypeScript enterprise web application</w:t>
            </w:r>
          </w:p>
        </w:tc>
      </w:tr>
      <w:tr>
        <w:trPr>
          <w:cantSplit w:val="true"/>
        </w:trPr>
        <w:tc>
          <w:tcPr>
            <w:tcW w:type="dxa" w:w="3024"/>
            <w:tcMar>
              <w:top w:w="80" w:type="dxa"/>
              <w:start w:w="105" w:type="dxa"/>
              <w:bottom w:w="80" w:type="dxa"/>
              <w:end w:w="105" w:type="dxa"/>
            </w:tcMar>
            <w:vAlign w:val="center"/>
          </w:tcPr>
          <w:p>
            <w:pPr>
              <w:spacing w:after="0"/>
            </w:pPr>
            <w:r>
              <w:rPr>
                <w:sz w:val="17"/>
              </w:rPr>
              <w:t>apps/api</w:t>
            </w:r>
          </w:p>
        </w:tc>
        <w:tc>
          <w:tcPr>
            <w:tcW w:type="dxa" w:w="6336"/>
            <w:tcMar>
              <w:top w:w="80" w:type="dxa"/>
              <w:start w:w="105" w:type="dxa"/>
              <w:bottom w:w="80" w:type="dxa"/>
              <w:end w:w="105" w:type="dxa"/>
            </w:tcMar>
            <w:vAlign w:val="center"/>
          </w:tcPr>
          <w:p>
            <w:pPr>
              <w:spacing w:after="0"/>
            </w:pPr>
            <w:r>
              <w:rPr>
                <w:sz w:val="17"/>
              </w:rPr>
              <w:t>ASP.NET Core API host and composition root</w:t>
            </w:r>
          </w:p>
        </w:tc>
      </w:tr>
      <w:tr>
        <w:trPr>
          <w:cantSplit w:val="true"/>
        </w:trPr>
        <w:tc>
          <w:tcPr>
            <w:tcW w:type="dxa" w:w="3024"/>
            <w:tcMar>
              <w:top w:w="80" w:type="dxa"/>
              <w:start w:w="105" w:type="dxa"/>
              <w:bottom w:w="80" w:type="dxa"/>
              <w:end w:w="105" w:type="dxa"/>
            </w:tcMar>
            <w:vAlign w:val="center"/>
          </w:tcPr>
          <w:p>
            <w:pPr>
              <w:spacing w:after="0"/>
            </w:pPr>
            <w:r>
              <w:rPr>
                <w:sz w:val="17"/>
              </w:rPr>
              <w:t>apps/worker</w:t>
            </w:r>
          </w:p>
        </w:tc>
        <w:tc>
          <w:tcPr>
            <w:tcW w:type="dxa" w:w="6336"/>
            <w:tcMar>
              <w:top w:w="80" w:type="dxa"/>
              <w:start w:w="105" w:type="dxa"/>
              <w:bottom w:w="80" w:type="dxa"/>
              <w:end w:w="105" w:type="dxa"/>
            </w:tcMar>
            <w:vAlign w:val="center"/>
          </w:tcPr>
          <w:p>
            <w:pPr>
              <w:spacing w:after="0"/>
            </w:pPr>
            <w:r>
              <w:rPr>
                <w:sz w:val="17"/>
              </w:rPr>
              <w:t>Background task/discovery worker host</w:t>
            </w:r>
          </w:p>
        </w:tc>
      </w:tr>
      <w:tr>
        <w:trPr>
          <w:cantSplit w:val="true"/>
        </w:trPr>
        <w:tc>
          <w:tcPr>
            <w:tcW w:type="dxa" w:w="3024"/>
            <w:tcMar>
              <w:top w:w="80" w:type="dxa"/>
              <w:start w:w="105" w:type="dxa"/>
              <w:bottom w:w="80" w:type="dxa"/>
              <w:end w:w="105" w:type="dxa"/>
            </w:tcMar>
            <w:vAlign w:val="center"/>
          </w:tcPr>
          <w:p>
            <w:pPr>
              <w:spacing w:after="0"/>
            </w:pPr>
            <w:r>
              <w:rPr>
                <w:sz w:val="17"/>
              </w:rPr>
              <w:t>apps/workstation-agent</w:t>
            </w:r>
          </w:p>
        </w:tc>
        <w:tc>
          <w:tcPr>
            <w:tcW w:type="dxa" w:w="6336"/>
            <w:tcMar>
              <w:top w:w="80" w:type="dxa"/>
              <w:start w:w="105" w:type="dxa"/>
              <w:bottom w:w="80" w:type="dxa"/>
              <w:end w:w="105" w:type="dxa"/>
            </w:tcMar>
            <w:vAlign w:val="center"/>
          </w:tcPr>
          <w:p>
            <w:pPr>
              <w:spacing w:after="0"/>
            </w:pPr>
            <w:r>
              <w:rPr>
                <w:sz w:val="17"/>
              </w:rPr>
              <w:t>Endpoint agent service</w:t>
            </w:r>
          </w:p>
        </w:tc>
      </w:tr>
      <w:tr>
        <w:trPr>
          <w:cantSplit w:val="true"/>
        </w:trPr>
        <w:tc>
          <w:tcPr>
            <w:tcW w:type="dxa" w:w="3024"/>
            <w:tcMar>
              <w:top w:w="80" w:type="dxa"/>
              <w:start w:w="105" w:type="dxa"/>
              <w:bottom w:w="80" w:type="dxa"/>
              <w:end w:w="105" w:type="dxa"/>
            </w:tcMar>
            <w:vAlign w:val="center"/>
          </w:tcPr>
          <w:p>
            <w:pPr>
              <w:spacing w:after="0"/>
            </w:pPr>
            <w:r>
              <w:rPr>
                <w:sz w:val="17"/>
              </w:rPr>
              <w:t>modules/identity</w:t>
            </w:r>
          </w:p>
        </w:tc>
        <w:tc>
          <w:tcPr>
            <w:tcW w:type="dxa" w:w="6336"/>
            <w:tcMar>
              <w:top w:w="80" w:type="dxa"/>
              <w:start w:w="105" w:type="dxa"/>
              <w:bottom w:w="80" w:type="dxa"/>
              <w:end w:w="105" w:type="dxa"/>
            </w:tcMar>
            <w:vAlign w:val="center"/>
          </w:tcPr>
          <w:p>
            <w:pPr>
              <w:spacing w:after="0"/>
            </w:pPr>
            <w:r>
              <w:rPr>
                <w:sz w:val="17"/>
              </w:rPr>
              <w:t>Authentication, sessions, RBAC</w:t>
            </w:r>
          </w:p>
        </w:tc>
      </w:tr>
      <w:tr>
        <w:trPr>
          <w:cantSplit w:val="true"/>
        </w:trPr>
        <w:tc>
          <w:tcPr>
            <w:tcW w:type="dxa" w:w="3024"/>
            <w:tcMar>
              <w:top w:w="80" w:type="dxa"/>
              <w:start w:w="105" w:type="dxa"/>
              <w:bottom w:w="80" w:type="dxa"/>
              <w:end w:w="105" w:type="dxa"/>
            </w:tcMar>
            <w:vAlign w:val="center"/>
          </w:tcPr>
          <w:p>
            <w:pPr>
              <w:spacing w:after="0"/>
            </w:pPr>
            <w:r>
              <w:rPr>
                <w:sz w:val="17"/>
              </w:rPr>
              <w:t>modules/connections</w:t>
            </w:r>
          </w:p>
        </w:tc>
        <w:tc>
          <w:tcPr>
            <w:tcW w:type="dxa" w:w="6336"/>
            <w:tcMar>
              <w:top w:w="80" w:type="dxa"/>
              <w:start w:w="105" w:type="dxa"/>
              <w:bottom w:w="80" w:type="dxa"/>
              <w:end w:w="105" w:type="dxa"/>
            </w:tcMar>
            <w:vAlign w:val="center"/>
          </w:tcPr>
          <w:p>
            <w:pPr>
              <w:spacing w:after="0"/>
            </w:pPr>
            <w:r>
              <w:rPr>
                <w:sz w:val="17"/>
              </w:rPr>
              <w:t>Connections, secret references, health</w:t>
            </w:r>
          </w:p>
        </w:tc>
      </w:tr>
      <w:tr>
        <w:trPr>
          <w:cantSplit w:val="true"/>
        </w:trPr>
        <w:tc>
          <w:tcPr>
            <w:tcW w:type="dxa" w:w="3024"/>
            <w:tcMar>
              <w:top w:w="80" w:type="dxa"/>
              <w:start w:w="105" w:type="dxa"/>
              <w:bottom w:w="80" w:type="dxa"/>
              <w:end w:w="105" w:type="dxa"/>
            </w:tcMar>
            <w:vAlign w:val="center"/>
          </w:tcPr>
          <w:p>
            <w:pPr>
              <w:spacing w:after="0"/>
            </w:pPr>
            <w:r>
              <w:rPr>
                <w:sz w:val="17"/>
              </w:rPr>
              <w:t>modules/inventory</w:t>
            </w:r>
          </w:p>
        </w:tc>
        <w:tc>
          <w:tcPr>
            <w:tcW w:type="dxa" w:w="6336"/>
            <w:tcMar>
              <w:top w:w="80" w:type="dxa"/>
              <w:start w:w="105" w:type="dxa"/>
              <w:bottom w:w="80" w:type="dxa"/>
              <w:end w:w="105" w:type="dxa"/>
            </w:tcMar>
            <w:vAlign w:val="center"/>
          </w:tcPr>
          <w:p>
            <w:pPr>
              <w:spacing w:after="0"/>
            </w:pPr>
            <w:r>
              <w:rPr>
                <w:sz w:val="17"/>
              </w:rPr>
              <w:t>Canonical resources, hierarchy, search</w:t>
            </w:r>
          </w:p>
        </w:tc>
      </w:tr>
      <w:tr>
        <w:trPr>
          <w:cantSplit w:val="true"/>
        </w:trPr>
        <w:tc>
          <w:tcPr>
            <w:tcW w:type="dxa" w:w="3024"/>
            <w:tcMar>
              <w:top w:w="80" w:type="dxa"/>
              <w:start w:w="105" w:type="dxa"/>
              <w:bottom w:w="80" w:type="dxa"/>
              <w:end w:w="105" w:type="dxa"/>
            </w:tcMar>
            <w:vAlign w:val="center"/>
          </w:tcPr>
          <w:p>
            <w:pPr>
              <w:spacing w:after="0"/>
            </w:pPr>
            <w:r>
              <w:rPr>
                <w:sz w:val="17"/>
              </w:rPr>
              <w:t>modules/tasks</w:t>
            </w:r>
          </w:p>
        </w:tc>
        <w:tc>
          <w:tcPr>
            <w:tcW w:type="dxa" w:w="6336"/>
            <w:tcMar>
              <w:top w:w="80" w:type="dxa"/>
              <w:start w:w="105" w:type="dxa"/>
              <w:bottom w:w="80" w:type="dxa"/>
              <w:end w:w="105" w:type="dxa"/>
            </w:tcMar>
            <w:vAlign w:val="center"/>
          </w:tcPr>
          <w:p>
            <w:pPr>
              <w:spacing w:after="0"/>
            </w:pPr>
            <w:r>
              <w:rPr>
                <w:sz w:val="17"/>
              </w:rPr>
              <w:t>Task state machine, outbox, leases, idempotency</w:t>
            </w:r>
          </w:p>
        </w:tc>
      </w:tr>
      <w:tr>
        <w:trPr>
          <w:cantSplit w:val="true"/>
        </w:trPr>
        <w:tc>
          <w:tcPr>
            <w:tcW w:type="dxa" w:w="3024"/>
            <w:tcMar>
              <w:top w:w="80" w:type="dxa"/>
              <w:start w:w="105" w:type="dxa"/>
              <w:bottom w:w="80" w:type="dxa"/>
              <w:end w:w="105" w:type="dxa"/>
            </w:tcMar>
            <w:vAlign w:val="center"/>
          </w:tcPr>
          <w:p>
            <w:pPr>
              <w:spacing w:after="0"/>
            </w:pPr>
            <w:r>
              <w:rPr>
                <w:sz w:val="17"/>
              </w:rPr>
              <w:t>modules/audit</w:t>
            </w:r>
          </w:p>
        </w:tc>
        <w:tc>
          <w:tcPr>
            <w:tcW w:type="dxa" w:w="6336"/>
            <w:tcMar>
              <w:top w:w="80" w:type="dxa"/>
              <w:start w:w="105" w:type="dxa"/>
              <w:bottom w:w="80" w:type="dxa"/>
              <w:end w:w="105" w:type="dxa"/>
            </w:tcMar>
            <w:vAlign w:val="center"/>
          </w:tcPr>
          <w:p>
            <w:pPr>
              <w:spacing w:after="0"/>
            </w:pPr>
            <w:r>
              <w:rPr>
                <w:sz w:val="17"/>
              </w:rPr>
              <w:t>Audit and operational events</w:t>
            </w:r>
          </w:p>
        </w:tc>
      </w:tr>
      <w:tr>
        <w:trPr>
          <w:cantSplit w:val="true"/>
        </w:trPr>
        <w:tc>
          <w:tcPr>
            <w:tcW w:type="dxa" w:w="3024"/>
            <w:tcMar>
              <w:top w:w="80" w:type="dxa"/>
              <w:start w:w="105" w:type="dxa"/>
              <w:bottom w:w="80" w:type="dxa"/>
              <w:end w:w="105" w:type="dxa"/>
            </w:tcMar>
            <w:vAlign w:val="center"/>
          </w:tcPr>
          <w:p>
            <w:pPr>
              <w:spacing w:after="0"/>
            </w:pPr>
            <w:r>
              <w:rPr>
                <w:sz w:val="17"/>
              </w:rPr>
              <w:t>providers/vmware</w:t>
            </w:r>
          </w:p>
        </w:tc>
        <w:tc>
          <w:tcPr>
            <w:tcW w:type="dxa" w:w="6336"/>
            <w:tcMar>
              <w:top w:w="80" w:type="dxa"/>
              <w:start w:w="105" w:type="dxa"/>
              <w:bottom w:w="80" w:type="dxa"/>
              <w:end w:w="105" w:type="dxa"/>
            </w:tcMar>
            <w:vAlign w:val="center"/>
          </w:tcPr>
          <w:p>
            <w:pPr>
              <w:spacing w:after="0"/>
            </w:pPr>
            <w:r>
              <w:rPr>
                <w:sz w:val="17"/>
              </w:rPr>
              <w:t>vCenter/ESXi adapter</w:t>
            </w:r>
          </w:p>
        </w:tc>
      </w:tr>
      <w:tr>
        <w:trPr>
          <w:cantSplit w:val="true"/>
        </w:trPr>
        <w:tc>
          <w:tcPr>
            <w:tcW w:type="dxa" w:w="3024"/>
            <w:tcMar>
              <w:top w:w="80" w:type="dxa"/>
              <w:start w:w="105" w:type="dxa"/>
              <w:bottom w:w="80" w:type="dxa"/>
              <w:end w:w="105" w:type="dxa"/>
            </w:tcMar>
            <w:vAlign w:val="center"/>
          </w:tcPr>
          <w:p>
            <w:pPr>
              <w:spacing w:after="0"/>
            </w:pPr>
            <w:r>
              <w:rPr>
                <w:sz w:val="17"/>
              </w:rPr>
              <w:t>providers/aws</w:t>
            </w:r>
          </w:p>
        </w:tc>
        <w:tc>
          <w:tcPr>
            <w:tcW w:type="dxa" w:w="6336"/>
            <w:tcMar>
              <w:top w:w="80" w:type="dxa"/>
              <w:start w:w="105" w:type="dxa"/>
              <w:bottom w:w="80" w:type="dxa"/>
              <w:end w:w="105" w:type="dxa"/>
            </w:tcMar>
            <w:vAlign w:val="center"/>
          </w:tcPr>
          <w:p>
            <w:pPr>
              <w:spacing w:after="0"/>
            </w:pPr>
            <w:r>
              <w:rPr>
                <w:sz w:val="17"/>
              </w:rPr>
              <w:t>EC2 adapter</w:t>
            </w:r>
          </w:p>
        </w:tc>
      </w:tr>
      <w:tr>
        <w:trPr>
          <w:cantSplit w:val="true"/>
        </w:trPr>
        <w:tc>
          <w:tcPr>
            <w:tcW w:type="dxa" w:w="3024"/>
            <w:tcMar>
              <w:top w:w="80" w:type="dxa"/>
              <w:start w:w="105" w:type="dxa"/>
              <w:bottom w:w="80" w:type="dxa"/>
              <w:end w:w="105" w:type="dxa"/>
            </w:tcMar>
            <w:vAlign w:val="center"/>
          </w:tcPr>
          <w:p>
            <w:pPr>
              <w:spacing w:after="0"/>
            </w:pPr>
            <w:r>
              <w:rPr>
                <w:sz w:val="17"/>
              </w:rPr>
              <w:t>providers/azure</w:t>
            </w:r>
          </w:p>
        </w:tc>
        <w:tc>
          <w:tcPr>
            <w:tcW w:type="dxa" w:w="6336"/>
            <w:tcMar>
              <w:top w:w="80" w:type="dxa"/>
              <w:start w:w="105" w:type="dxa"/>
              <w:bottom w:w="80" w:type="dxa"/>
              <w:end w:w="105" w:type="dxa"/>
            </w:tcMar>
            <w:vAlign w:val="center"/>
          </w:tcPr>
          <w:p>
            <w:pPr>
              <w:spacing w:after="0"/>
            </w:pPr>
            <w:r>
              <w:rPr>
                <w:sz w:val="17"/>
              </w:rPr>
              <w:t>Azure VM adapter</w:t>
            </w:r>
          </w:p>
        </w:tc>
      </w:tr>
      <w:tr>
        <w:trPr>
          <w:cantSplit w:val="true"/>
        </w:trPr>
        <w:tc>
          <w:tcPr>
            <w:tcW w:type="dxa" w:w="3024"/>
            <w:tcMar>
              <w:top w:w="80" w:type="dxa"/>
              <w:start w:w="105" w:type="dxa"/>
              <w:bottom w:w="80" w:type="dxa"/>
              <w:end w:w="105" w:type="dxa"/>
            </w:tcMar>
            <w:vAlign w:val="center"/>
          </w:tcPr>
          <w:p>
            <w:pPr>
              <w:spacing w:after="0"/>
            </w:pPr>
            <w:r>
              <w:rPr>
                <w:sz w:val="17"/>
              </w:rPr>
              <w:t>contracts</w:t>
            </w:r>
          </w:p>
        </w:tc>
        <w:tc>
          <w:tcPr>
            <w:tcW w:type="dxa" w:w="6336"/>
            <w:tcMar>
              <w:top w:w="80" w:type="dxa"/>
              <w:start w:w="105" w:type="dxa"/>
              <w:bottom w:w="80" w:type="dxa"/>
              <w:end w:w="105" w:type="dxa"/>
            </w:tcMar>
            <w:vAlign w:val="center"/>
          </w:tcPr>
          <w:p>
            <w:pPr>
              <w:spacing w:after="0"/>
            </w:pPr>
            <w:r>
              <w:rPr>
                <w:sz w:val="17"/>
              </w:rPr>
              <w:t>OpenAPI, message schemas, adapter SPI, agent protocol</w:t>
            </w:r>
          </w:p>
        </w:tc>
      </w:tr>
      <w:tr>
        <w:trPr>
          <w:cantSplit w:val="true"/>
        </w:trPr>
        <w:tc>
          <w:tcPr>
            <w:tcW w:type="dxa" w:w="3024"/>
            <w:tcMar>
              <w:top w:w="80" w:type="dxa"/>
              <w:start w:w="105" w:type="dxa"/>
              <w:bottom w:w="80" w:type="dxa"/>
              <w:end w:w="105" w:type="dxa"/>
            </w:tcMar>
            <w:vAlign w:val="center"/>
          </w:tcPr>
          <w:p>
            <w:pPr>
              <w:spacing w:after="0"/>
            </w:pPr>
            <w:r>
              <w:rPr>
                <w:sz w:val="17"/>
              </w:rPr>
              <w:t>database/migrations</w:t>
            </w:r>
          </w:p>
        </w:tc>
        <w:tc>
          <w:tcPr>
            <w:tcW w:type="dxa" w:w="6336"/>
            <w:tcMar>
              <w:top w:w="80" w:type="dxa"/>
              <w:start w:w="105" w:type="dxa"/>
              <w:bottom w:w="80" w:type="dxa"/>
              <w:end w:w="105" w:type="dxa"/>
            </w:tcMar>
            <w:vAlign w:val="center"/>
          </w:tcPr>
          <w:p>
            <w:pPr>
              <w:spacing w:after="0"/>
            </w:pPr>
            <w:r>
              <w:rPr>
                <w:sz w:val="17"/>
              </w:rPr>
              <w:t>Ordered PostgreSQL migrations and seed data</w:t>
            </w:r>
          </w:p>
        </w:tc>
      </w:tr>
      <w:tr>
        <w:trPr>
          <w:cantSplit w:val="true"/>
        </w:trPr>
        <w:tc>
          <w:tcPr>
            <w:tcW w:type="dxa" w:w="3024"/>
            <w:tcMar>
              <w:top w:w="80" w:type="dxa"/>
              <w:start w:w="105" w:type="dxa"/>
              <w:bottom w:w="80" w:type="dxa"/>
              <w:end w:w="105" w:type="dxa"/>
            </w:tcMar>
            <w:vAlign w:val="center"/>
          </w:tcPr>
          <w:p>
            <w:pPr>
              <w:spacing w:after="0"/>
            </w:pPr>
            <w:r>
              <w:rPr>
                <w:sz w:val="17"/>
              </w:rPr>
              <w:t>tests</w:t>
            </w:r>
          </w:p>
        </w:tc>
        <w:tc>
          <w:tcPr>
            <w:tcW w:type="dxa" w:w="6336"/>
            <w:tcMar>
              <w:top w:w="80" w:type="dxa"/>
              <w:start w:w="105" w:type="dxa"/>
              <w:bottom w:w="80" w:type="dxa"/>
              <w:end w:w="105" w:type="dxa"/>
            </w:tcMar>
            <w:vAlign w:val="center"/>
          </w:tcPr>
          <w:p>
            <w:pPr>
              <w:spacing w:after="0"/>
            </w:pPr>
            <w:r>
              <w:rPr>
                <w:sz w:val="17"/>
              </w:rPr>
              <w:t>Unit, contract, integration, E2E, security, performance, resilience</w:t>
            </w:r>
          </w:p>
        </w:tc>
      </w:tr>
      <w:tr>
        <w:trPr>
          <w:cantSplit w:val="true"/>
        </w:trPr>
        <w:tc>
          <w:tcPr>
            <w:tcW w:type="dxa" w:w="3024"/>
            <w:tcMar>
              <w:top w:w="80" w:type="dxa"/>
              <w:start w:w="105" w:type="dxa"/>
              <w:bottom w:w="80" w:type="dxa"/>
              <w:end w:w="105" w:type="dxa"/>
            </w:tcMar>
            <w:vAlign w:val="center"/>
          </w:tcPr>
          <w:p>
            <w:pPr>
              <w:spacing w:after="0"/>
            </w:pPr>
            <w:r>
              <w:rPr>
                <w:sz w:val="17"/>
              </w:rPr>
              <w:t>deploy</w:t>
            </w:r>
          </w:p>
        </w:tc>
        <w:tc>
          <w:tcPr>
            <w:tcW w:type="dxa" w:w="6336"/>
            <w:tcMar>
              <w:top w:w="80" w:type="dxa"/>
              <w:start w:w="105" w:type="dxa"/>
              <w:bottom w:w="80" w:type="dxa"/>
              <w:end w:w="105" w:type="dxa"/>
            </w:tcMar>
            <w:vAlign w:val="center"/>
          </w:tcPr>
          <w:p>
            <w:pPr>
              <w:spacing w:after="0"/>
            </w:pPr>
            <w:r>
              <w:rPr>
                <w:sz w:val="17"/>
              </w:rPr>
              <w:t>Local/integration/production manifests and runbooks</w:t>
            </w:r>
          </w:p>
        </w:tc>
      </w:tr>
      <w:tr>
        <w:trPr>
          <w:cantSplit w:val="true"/>
        </w:trPr>
        <w:tc>
          <w:tcPr>
            <w:tcW w:type="dxa" w:w="3024"/>
            <w:tcMar>
              <w:top w:w="80" w:type="dxa"/>
              <w:start w:w="105" w:type="dxa"/>
              <w:bottom w:w="80" w:type="dxa"/>
              <w:end w:w="105" w:type="dxa"/>
            </w:tcMar>
            <w:vAlign w:val="center"/>
          </w:tcPr>
          <w:p>
            <w:pPr>
              <w:spacing w:after="0"/>
            </w:pPr>
            <w:r>
              <w:rPr>
                <w:sz w:val="17"/>
              </w:rPr>
              <w:t>docs</w:t>
            </w:r>
          </w:p>
        </w:tc>
        <w:tc>
          <w:tcPr>
            <w:tcW w:type="dxa" w:w="6336"/>
            <w:tcMar>
              <w:top w:w="80" w:type="dxa"/>
              <w:start w:w="105" w:type="dxa"/>
              <w:bottom w:w="80" w:type="dxa"/>
              <w:end w:w="105" w:type="dxa"/>
            </w:tcMar>
            <w:vAlign w:val="center"/>
          </w:tcPr>
          <w:p>
            <w:pPr>
              <w:spacing w:after="0"/>
            </w:pPr>
            <w:r>
              <w:rPr>
                <w:sz w:val="17"/>
              </w:rPr>
              <w:t>ADRs, developer, operator, provider, release documentation</w:t>
            </w:r>
          </w:p>
        </w:tc>
      </w:tr>
    </w:tbl>
    <w:p>
      <w:pPr>
        <w:spacing w:after="20"/>
      </w:pPr>
    </w:p>
    <w:p>
      <w:pPr>
        <w:pStyle w:val="Heading2"/>
        <w:keepNext/>
      </w:pPr>
      <w:r>
        <w:t>4.1 Engineering conventions</w:t>
      </w:r>
    </w:p>
    <w:p>
      <w:pPr>
        <w:pStyle w:val="ListBullet"/>
      </w:pPr>
      <w:r>
        <w:t>Trunk-based development with short-lived branches and mandatory review</w:t>
      </w:r>
    </w:p>
    <w:p>
      <w:pPr>
        <w:pStyle w:val="ListBullet"/>
      </w:pPr>
      <w:r>
        <w:t>Conventional versioned migrations and API/message schema compatibility checks</w:t>
      </w:r>
    </w:p>
    <w:p>
      <w:pPr>
        <w:pStyle w:val="ListBullet"/>
      </w:pPr>
      <w:r>
        <w:t>Code ownership by module/provider with security-sensitive reviewer rules</w:t>
      </w:r>
    </w:p>
    <w:p>
      <w:pPr>
        <w:pStyle w:val="ListBullet"/>
      </w:pPr>
      <w:r>
        <w:t>Feature work includes tests, telemetry, audit behavior, documentation, and threat-model updates</w:t>
      </w:r>
    </w:p>
    <w:p>
      <w:pPr>
        <w:pStyle w:val="ListBullet"/>
      </w:pPr>
      <w:r>
        <w:t>Generated clients/artifacts are reproducible and verified in CI</w:t>
      </w:r>
    </w:p>
    <w:p>
      <w:pPr>
        <w:pStyle w:val="Heading1"/>
        <w:keepNext/>
      </w:pPr>
      <w:r>
        <w:t>5. Environment and CI/CD Plan</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016"/>
            <w:shd w:fill="17365D"/>
            <w:tcMar>
              <w:top w:w="80" w:type="dxa"/>
              <w:start w:w="105" w:type="dxa"/>
              <w:bottom w:w="80" w:type="dxa"/>
              <w:end w:w="105" w:type="dxa"/>
            </w:tcMar>
          </w:tcPr>
          <w:p>
            <w:r>
              <w:rPr>
                <w:b/>
                <w:color w:val="FFFFFF"/>
                <w:sz w:val="17"/>
              </w:rPr>
              <w:t>Stage</w:t>
            </w:r>
          </w:p>
        </w:tc>
        <w:tc>
          <w:tcPr>
            <w:tcW w:type="dxa" w:w="7344"/>
            <w:shd w:fill="17365D"/>
            <w:tcMar>
              <w:top w:w="80" w:type="dxa"/>
              <w:start w:w="105" w:type="dxa"/>
              <w:bottom w:w="80" w:type="dxa"/>
              <w:end w:w="105" w:type="dxa"/>
            </w:tcMar>
          </w:tcPr>
          <w:p>
            <w:r>
              <w:rPr>
                <w:b/>
                <w:color w:val="FFFFFF"/>
                <w:sz w:val="17"/>
              </w:rPr>
              <w:t>Required checks / outputs</w:t>
            </w:r>
          </w:p>
        </w:tc>
      </w:tr>
      <w:tr>
        <w:trPr>
          <w:cantSplit w:val="true"/>
        </w:trPr>
        <w:tc>
          <w:tcPr>
            <w:tcW w:type="dxa" w:w="2016"/>
            <w:tcMar>
              <w:top w:w="80" w:type="dxa"/>
              <w:start w:w="105" w:type="dxa"/>
              <w:bottom w:w="80" w:type="dxa"/>
              <w:end w:w="105" w:type="dxa"/>
            </w:tcMar>
            <w:vAlign w:val="center"/>
          </w:tcPr>
          <w:p>
            <w:pPr>
              <w:spacing w:after="0"/>
            </w:pPr>
            <w:r>
              <w:rPr>
                <w:sz w:val="17"/>
              </w:rPr>
              <w:t>Developer</w:t>
            </w:r>
          </w:p>
        </w:tc>
        <w:tc>
          <w:tcPr>
            <w:tcW w:type="dxa" w:w="7344"/>
            <w:tcMar>
              <w:top w:w="80" w:type="dxa"/>
              <w:start w:w="105" w:type="dxa"/>
              <w:bottom w:w="80" w:type="dxa"/>
              <w:end w:w="105" w:type="dxa"/>
            </w:tcMar>
            <w:vAlign w:val="center"/>
          </w:tcPr>
          <w:p>
            <w:pPr>
              <w:spacing w:after="0"/>
            </w:pPr>
            <w:r>
              <w:rPr>
                <w:sz w:val="17"/>
              </w:rPr>
              <w:t>One-command dependencies, migrations, seeded admin, mock provider, lint/unit tests</w:t>
            </w:r>
          </w:p>
        </w:tc>
      </w:tr>
      <w:tr>
        <w:trPr>
          <w:cantSplit w:val="true"/>
        </w:trPr>
        <w:tc>
          <w:tcPr>
            <w:tcW w:type="dxa" w:w="2016"/>
            <w:tcMar>
              <w:top w:w="80" w:type="dxa"/>
              <w:start w:w="105" w:type="dxa"/>
              <w:bottom w:w="80" w:type="dxa"/>
              <w:end w:w="105" w:type="dxa"/>
            </w:tcMar>
            <w:vAlign w:val="center"/>
          </w:tcPr>
          <w:p>
            <w:pPr>
              <w:spacing w:after="0"/>
            </w:pPr>
            <w:r>
              <w:rPr>
                <w:sz w:val="17"/>
              </w:rPr>
              <w:t>Pull request</w:t>
            </w:r>
          </w:p>
        </w:tc>
        <w:tc>
          <w:tcPr>
            <w:tcW w:type="dxa" w:w="7344"/>
            <w:tcMar>
              <w:top w:w="80" w:type="dxa"/>
              <w:start w:w="105" w:type="dxa"/>
              <w:bottom w:w="80" w:type="dxa"/>
              <w:end w:w="105" w:type="dxa"/>
            </w:tcMar>
            <w:vAlign w:val="center"/>
          </w:tcPr>
          <w:p>
            <w:pPr>
              <w:spacing w:after="0"/>
            </w:pPr>
            <w:r>
              <w:rPr>
                <w:sz w:val="17"/>
              </w:rPr>
              <w:t>Build, lint, unit, architecture tests, migration validation, OpenAPI/schema diff, SAST, secret/dependency scan</w:t>
            </w:r>
          </w:p>
        </w:tc>
      </w:tr>
      <w:tr>
        <w:trPr>
          <w:cantSplit w:val="true"/>
        </w:trPr>
        <w:tc>
          <w:tcPr>
            <w:tcW w:type="dxa" w:w="2016"/>
            <w:tcMar>
              <w:top w:w="80" w:type="dxa"/>
              <w:start w:w="105" w:type="dxa"/>
              <w:bottom w:w="80" w:type="dxa"/>
              <w:end w:w="105" w:type="dxa"/>
            </w:tcMar>
            <w:vAlign w:val="center"/>
          </w:tcPr>
          <w:p>
            <w:pPr>
              <w:spacing w:after="0"/>
            </w:pPr>
            <w:r>
              <w:rPr>
                <w:sz w:val="17"/>
              </w:rPr>
              <w:t>Integration</w:t>
            </w:r>
          </w:p>
        </w:tc>
        <w:tc>
          <w:tcPr>
            <w:tcW w:type="dxa" w:w="7344"/>
            <w:tcMar>
              <w:top w:w="80" w:type="dxa"/>
              <w:start w:w="105" w:type="dxa"/>
              <w:bottom w:w="80" w:type="dxa"/>
              <w:end w:w="105" w:type="dxa"/>
            </w:tcMar>
            <w:vAlign w:val="center"/>
          </w:tcPr>
          <w:p>
            <w:pPr>
              <w:spacing w:after="0"/>
            </w:pPr>
            <w:r>
              <w:rPr>
                <w:sz w:val="17"/>
              </w:rPr>
              <w:t>Ephemeral database/broker, contract/integration suites, provider mocks/sandboxes, container scan, SBOM</w:t>
            </w:r>
          </w:p>
        </w:tc>
      </w:tr>
      <w:tr>
        <w:trPr>
          <w:cantSplit w:val="true"/>
        </w:trPr>
        <w:tc>
          <w:tcPr>
            <w:tcW w:type="dxa" w:w="2016"/>
            <w:tcMar>
              <w:top w:w="80" w:type="dxa"/>
              <w:start w:w="105" w:type="dxa"/>
              <w:bottom w:w="80" w:type="dxa"/>
              <w:end w:w="105" w:type="dxa"/>
            </w:tcMar>
            <w:vAlign w:val="center"/>
          </w:tcPr>
          <w:p>
            <w:pPr>
              <w:spacing w:after="0"/>
            </w:pPr>
            <w:r>
              <w:rPr>
                <w:sz w:val="17"/>
              </w:rPr>
              <w:t>Nightly</w:t>
            </w:r>
          </w:p>
        </w:tc>
        <w:tc>
          <w:tcPr>
            <w:tcW w:type="dxa" w:w="7344"/>
            <w:tcMar>
              <w:top w:w="80" w:type="dxa"/>
              <w:start w:w="105" w:type="dxa"/>
              <w:bottom w:w="80" w:type="dxa"/>
              <w:end w:w="105" w:type="dxa"/>
            </w:tcMar>
            <w:vAlign w:val="center"/>
          </w:tcPr>
          <w:p>
            <w:pPr>
              <w:spacing w:after="0"/>
            </w:pPr>
            <w:r>
              <w:rPr>
                <w:sz w:val="17"/>
              </w:rPr>
              <w:t>E2E, resilience, accessibility, provider integration, migration-from-prior, backup/restore smoke</w:t>
            </w:r>
          </w:p>
        </w:tc>
      </w:tr>
      <w:tr>
        <w:trPr>
          <w:cantSplit w:val="true"/>
        </w:trPr>
        <w:tc>
          <w:tcPr>
            <w:tcW w:type="dxa" w:w="2016"/>
            <w:tcMar>
              <w:top w:w="80" w:type="dxa"/>
              <w:start w:w="105" w:type="dxa"/>
              <w:bottom w:w="80" w:type="dxa"/>
              <w:end w:w="105" w:type="dxa"/>
            </w:tcMar>
            <w:vAlign w:val="center"/>
          </w:tcPr>
          <w:p>
            <w:pPr>
              <w:spacing w:after="0"/>
            </w:pPr>
            <w:r>
              <w:rPr>
                <w:sz w:val="17"/>
              </w:rPr>
              <w:t>Milestone</w:t>
            </w:r>
          </w:p>
        </w:tc>
        <w:tc>
          <w:tcPr>
            <w:tcW w:type="dxa" w:w="7344"/>
            <w:tcMar>
              <w:top w:w="80" w:type="dxa"/>
              <w:start w:w="105" w:type="dxa"/>
              <w:bottom w:w="80" w:type="dxa"/>
              <w:end w:w="105" w:type="dxa"/>
            </w:tcMar>
            <w:vAlign w:val="center"/>
          </w:tcPr>
          <w:p>
            <w:pPr>
              <w:spacing w:after="0"/>
            </w:pPr>
            <w:r>
              <w:rPr>
                <w:sz w:val="17"/>
              </w:rPr>
              <w:t>Reference-scale performance, threat controls, manual exploratory, documentation verification, gate evidence</w:t>
            </w:r>
          </w:p>
        </w:tc>
      </w:tr>
      <w:tr>
        <w:trPr>
          <w:cantSplit w:val="true"/>
        </w:trPr>
        <w:tc>
          <w:tcPr>
            <w:tcW w:type="dxa" w:w="2016"/>
            <w:tcMar>
              <w:top w:w="80" w:type="dxa"/>
              <w:start w:w="105" w:type="dxa"/>
              <w:bottom w:w="80" w:type="dxa"/>
              <w:end w:w="105" w:type="dxa"/>
            </w:tcMar>
            <w:vAlign w:val="center"/>
          </w:tcPr>
          <w:p>
            <w:pPr>
              <w:spacing w:after="0"/>
            </w:pPr>
            <w:r>
              <w:rPr>
                <w:sz w:val="17"/>
              </w:rPr>
              <w:t>Release candidate</w:t>
            </w:r>
          </w:p>
        </w:tc>
        <w:tc>
          <w:tcPr>
            <w:tcW w:type="dxa" w:w="7344"/>
            <w:tcMar>
              <w:top w:w="80" w:type="dxa"/>
              <w:start w:w="105" w:type="dxa"/>
              <w:bottom w:w="80" w:type="dxa"/>
              <w:end w:w="105" w:type="dxa"/>
            </w:tcMar>
            <w:vAlign w:val="center"/>
          </w:tcPr>
          <w:p>
            <w:pPr>
              <w:spacing w:after="0"/>
            </w:pPr>
            <w:r>
              <w:rPr>
                <w:sz w:val="17"/>
              </w:rPr>
              <w:t>Signed immutable artifacts, provenance, SBOM, install/upgrade/restore tests, known limitations, approvals</w:t>
            </w:r>
          </w:p>
        </w:tc>
      </w:tr>
    </w:tbl>
    <w:p>
      <w:pPr>
        <w:spacing w:after="20"/>
      </w:pPr>
    </w:p>
    <w:p>
      <w:pPr>
        <w:pStyle w:val="Heading1"/>
        <w:keepNext/>
      </w:pPr>
      <w:r>
        <w:t>6. Estimation and Backlog Policy</w:t>
      </w:r>
    </w:p>
    <w:p>
      <w:pPr>
        <w:pStyle w:val="ListBullet"/>
      </w:pPr>
      <w:r>
        <w:t>Epic estimates use ideal engineering weeks and a delivery range; sprint commitments use team capacity after refinement</w:t>
      </w:r>
    </w:p>
    <w:p>
      <w:pPr>
        <w:pStyle w:val="ListBullet"/>
      </w:pPr>
      <w:r>
        <w:t>Stories must be independently demonstrable, testable, and traceable to a requirement/architecture contract</w:t>
      </w:r>
    </w:p>
    <w:p>
      <w:pPr>
        <w:pStyle w:val="ListBullet"/>
      </w:pPr>
      <w:r>
        <w:t>Provider work includes SDK research, permissions, throttling, pagination, error mapping, fixtures, sandbox testing, and documentation</w:t>
      </w:r>
    </w:p>
    <w:p>
      <w:pPr>
        <w:pStyle w:val="ListBullet"/>
      </w:pPr>
      <w:r>
        <w:t>No story is complete when only the happy path works</w:t>
      </w:r>
    </w:p>
    <w:p>
      <w:pPr>
        <w:pStyle w:val="ListBullet"/>
      </w:pPr>
      <w:r>
        <w:t>Unplanned production/release defects displace lower-priority scope; they do not silently increase capacity</w:t>
      </w:r>
    </w:p>
    <w:p>
      <w:pPr>
        <w:pStyle w:val="Heading2"/>
        <w:keepNext/>
      </w:pPr>
      <w:r>
        <w:t>6.1 Definition of Ready</w:t>
      </w:r>
    </w:p>
    <w:p>
      <w:pPr>
        <w:pStyle w:val="ListBullet"/>
      </w:pPr>
      <w:r>
        <w:t>User/technical outcome and non-goals are clear</w:t>
      </w:r>
    </w:p>
    <w:p>
      <w:pPr>
        <w:pStyle w:val="ListBullet"/>
      </w:pPr>
      <w:r>
        <w:t>Acceptance criteria are observable and linked to governing requirements</w:t>
      </w:r>
    </w:p>
    <w:p>
      <w:pPr>
        <w:pStyle w:val="ListBullet"/>
      </w:pPr>
      <w:r>
        <w:t>Dependencies, data/API changes, security impact, and telemetry are identified</w:t>
      </w:r>
    </w:p>
    <w:p>
      <w:pPr>
        <w:pStyle w:val="ListBullet"/>
      </w:pPr>
      <w:r>
        <w:t>Provider sandbox/test data and UX behavior are available where required</w:t>
      </w:r>
    </w:p>
    <w:p>
      <w:pPr>
        <w:pStyle w:val="ListBullet"/>
      </w:pPr>
      <w:r>
        <w:t>Estimate fits a sprint or is decomposed</w:t>
      </w:r>
    </w:p>
    <w:p>
      <w:pPr>
        <w:pStyle w:val="ListBullet"/>
      </w:pPr>
      <w:r>
        <w:t>Open decision that could invalidate work is resolved or explicitly time-boxed as a spike</w:t>
      </w:r>
    </w:p>
    <w:p>
      <w:pPr>
        <w:pStyle w:val="Heading2"/>
        <w:keepNext/>
      </w:pPr>
      <w:r>
        <w:t>6.2 Definition of Done</w:t>
      </w:r>
    </w:p>
    <w:p>
      <w:pPr>
        <w:pStyle w:val="ListBullet"/>
      </w:pPr>
      <w:r>
        <w:t>Reviewed code merged with automated tests at appropriate levels</w:t>
      </w:r>
    </w:p>
    <w:p>
      <w:pPr>
        <w:pStyle w:val="ListBullet"/>
      </w:pPr>
      <w:r>
        <w:t>Database/API/message changes pass compatibility and migration tests</w:t>
      </w:r>
    </w:p>
    <w:p>
      <w:pPr>
        <w:pStyle w:val="ListBullet"/>
      </w:pPr>
      <w:r>
        <w:t>Authorization, audit, error, redaction, and observability behaviors verified</w:t>
      </w:r>
    </w:p>
    <w:p>
      <w:pPr>
        <w:pStyle w:val="ListBullet"/>
      </w:pPr>
      <w:r>
        <w:t>Accessibility and supported-resolution behavior verified for UI work</w:t>
      </w:r>
    </w:p>
    <w:p>
      <w:pPr>
        <w:pStyle w:val="ListBullet"/>
      </w:pPr>
      <w:r>
        <w:t>Security scans show no unaccepted release-blocking finding</w:t>
      </w:r>
    </w:p>
    <w:p>
      <w:pPr>
        <w:pStyle w:val="ListBullet"/>
      </w:pPr>
      <w:r>
        <w:t>Operational and user documentation updated</w:t>
      </w:r>
    </w:p>
    <w:p>
      <w:pPr>
        <w:pStyle w:val="ListBullet"/>
      </w:pPr>
      <w:r>
        <w:t>Traceability and acceptance evidence attached; feature demonstrated in integration environment</w:t>
      </w:r>
    </w:p>
    <w:p>
      <w:pPr>
        <w:pStyle w:val="Heading1"/>
        <w:keepNext/>
      </w:pPr>
      <w:r>
        <w:t>7. Milestone Roadmap</w:t>
      </w:r>
    </w:p>
    <w:tbl>
      <w:tblPr>
        <w:tblStyle w:val="TableGrid"/>
        <w:tblW w:type="auto" w:w="0"/>
        <w:tblLayout w:type="fixed"/>
        <w:tblLook w:firstColumn="1" w:firstRow="1" w:lastColumn="0" w:lastRow="0" w:noHBand="0" w:noVBand="1" w:val="04A0"/>
      </w:tblPr>
      <w:tblGrid>
        <w:gridCol w:w="1953"/>
        <w:gridCol w:w="1953"/>
        <w:gridCol w:w="1953"/>
        <w:gridCol w:w="1953"/>
        <w:gridCol w:w="1953"/>
      </w:tblGrid>
      <w:tr>
        <w:trPr>
          <w:tblHeader w:val="true"/>
        </w:trPr>
        <w:tc>
          <w:tcPr>
            <w:tcW w:type="dxa" w:w="648"/>
            <w:shd w:fill="17365D"/>
            <w:tcMar>
              <w:top w:w="80" w:type="dxa"/>
              <w:start w:w="105" w:type="dxa"/>
              <w:bottom w:w="80" w:type="dxa"/>
              <w:end w:w="105" w:type="dxa"/>
            </w:tcMar>
          </w:tcPr>
          <w:p>
            <w:r>
              <w:rPr>
                <w:b/>
                <w:color w:val="FFFFFF"/>
                <w:sz w:val="16"/>
              </w:rPr>
              <w:t>ID</w:t>
            </w:r>
          </w:p>
        </w:tc>
        <w:tc>
          <w:tcPr>
            <w:tcW w:type="dxa" w:w="2088"/>
            <w:shd w:fill="17365D"/>
            <w:tcMar>
              <w:top w:w="80" w:type="dxa"/>
              <w:start w:w="105" w:type="dxa"/>
              <w:bottom w:w="80" w:type="dxa"/>
              <w:end w:w="105" w:type="dxa"/>
            </w:tcMar>
          </w:tcPr>
          <w:p>
            <w:r>
              <w:rPr>
                <w:b/>
                <w:color w:val="FFFFFF"/>
                <w:sz w:val="16"/>
              </w:rPr>
              <w:t>Milestone</w:t>
            </w:r>
          </w:p>
        </w:tc>
        <w:tc>
          <w:tcPr>
            <w:tcW w:type="dxa" w:w="1080"/>
            <w:shd w:fill="17365D"/>
            <w:tcMar>
              <w:top w:w="80" w:type="dxa"/>
              <w:start w:w="105" w:type="dxa"/>
              <w:bottom w:w="80" w:type="dxa"/>
              <w:end w:w="105" w:type="dxa"/>
            </w:tcMar>
          </w:tcPr>
          <w:p>
            <w:r>
              <w:rPr>
                <w:b/>
                <w:color w:val="FFFFFF"/>
                <w:sz w:val="16"/>
              </w:rPr>
              <w:t>Sprint</w:t>
            </w:r>
          </w:p>
        </w:tc>
        <w:tc>
          <w:tcPr>
            <w:tcW w:type="dxa" w:w="864"/>
            <w:shd w:fill="17365D"/>
            <w:tcMar>
              <w:top w:w="80" w:type="dxa"/>
              <w:start w:w="105" w:type="dxa"/>
              <w:bottom w:w="80" w:type="dxa"/>
              <w:end w:w="105" w:type="dxa"/>
            </w:tcMar>
          </w:tcPr>
          <w:p>
            <w:r>
              <w:rPr>
                <w:b/>
                <w:color w:val="FFFFFF"/>
                <w:sz w:val="16"/>
              </w:rPr>
              <w:t>Range</w:t>
            </w:r>
          </w:p>
        </w:tc>
        <w:tc>
          <w:tcPr>
            <w:tcW w:type="dxa" w:w="4680"/>
            <w:shd w:fill="17365D"/>
            <w:tcMar>
              <w:top w:w="80" w:type="dxa"/>
              <w:start w:w="105" w:type="dxa"/>
              <w:bottom w:w="80" w:type="dxa"/>
              <w:end w:w="105" w:type="dxa"/>
            </w:tcMar>
          </w:tcPr>
          <w:p>
            <w:r>
              <w:rPr>
                <w:b/>
                <w:color w:val="FFFFFF"/>
                <w:sz w:val="16"/>
              </w:rPr>
              <w:t>Exit outcome</w:t>
            </w:r>
          </w:p>
        </w:tc>
      </w:tr>
      <w:tr>
        <w:trPr>
          <w:cantSplit w:val="true"/>
        </w:trPr>
        <w:tc>
          <w:tcPr>
            <w:tcW w:type="dxa" w:w="648"/>
            <w:tcMar>
              <w:top w:w="80" w:type="dxa"/>
              <w:start w:w="105" w:type="dxa"/>
              <w:bottom w:w="80" w:type="dxa"/>
              <w:end w:w="105" w:type="dxa"/>
            </w:tcMar>
            <w:vAlign w:val="center"/>
          </w:tcPr>
          <w:p>
            <w:pPr>
              <w:spacing w:after="0"/>
            </w:pPr>
            <w:r>
              <w:rPr>
                <w:sz w:val="16"/>
              </w:rPr>
              <w:t>M0</w:t>
            </w:r>
          </w:p>
        </w:tc>
        <w:tc>
          <w:tcPr>
            <w:tcW w:type="dxa" w:w="2088"/>
            <w:tcMar>
              <w:top w:w="80" w:type="dxa"/>
              <w:start w:w="105" w:type="dxa"/>
              <w:bottom w:w="80" w:type="dxa"/>
              <w:end w:w="105" w:type="dxa"/>
            </w:tcMar>
            <w:vAlign w:val="center"/>
          </w:tcPr>
          <w:p>
            <w:pPr>
              <w:spacing w:after="0"/>
            </w:pPr>
            <w:r>
              <w:rPr>
                <w:sz w:val="16"/>
              </w:rPr>
              <w:t>Program mobilization</w:t>
            </w:r>
          </w:p>
        </w:tc>
        <w:tc>
          <w:tcPr>
            <w:tcW w:type="dxa" w:w="1080"/>
            <w:tcMar>
              <w:top w:w="80" w:type="dxa"/>
              <w:start w:w="105" w:type="dxa"/>
              <w:bottom w:w="80" w:type="dxa"/>
              <w:end w:w="105" w:type="dxa"/>
            </w:tcMar>
            <w:vAlign w:val="center"/>
          </w:tcPr>
          <w:p>
            <w:pPr>
              <w:spacing w:after="0"/>
            </w:pPr>
            <w:r>
              <w:rPr>
                <w:sz w:val="16"/>
              </w:rPr>
              <w:t>S1</w:t>
            </w:r>
          </w:p>
        </w:tc>
        <w:tc>
          <w:tcPr>
            <w:tcW w:type="dxa" w:w="864"/>
            <w:tcMar>
              <w:top w:w="80" w:type="dxa"/>
              <w:start w:w="105" w:type="dxa"/>
              <w:bottom w:w="80" w:type="dxa"/>
              <w:end w:w="105" w:type="dxa"/>
            </w:tcMar>
            <w:vAlign w:val="center"/>
          </w:tcPr>
          <w:p>
            <w:pPr>
              <w:spacing w:after="0"/>
            </w:pPr>
            <w:r>
              <w:rPr>
                <w:sz w:val="16"/>
              </w:rPr>
              <w:t>2 wks</w:t>
            </w:r>
          </w:p>
        </w:tc>
        <w:tc>
          <w:tcPr>
            <w:tcW w:type="dxa" w:w="4680"/>
            <w:tcMar>
              <w:top w:w="80" w:type="dxa"/>
              <w:start w:w="105" w:type="dxa"/>
              <w:bottom w:w="80" w:type="dxa"/>
              <w:end w:w="105" w:type="dxa"/>
            </w:tcMar>
            <w:vAlign w:val="center"/>
          </w:tcPr>
          <w:p>
            <w:pPr>
              <w:spacing w:after="0"/>
            </w:pPr>
            <w:r>
              <w:rPr>
                <w:sz w:val="16"/>
              </w:rPr>
              <w:t>Approved plan, environments/access owners, backlog and risk register</w:t>
            </w:r>
          </w:p>
        </w:tc>
      </w:tr>
      <w:tr>
        <w:trPr>
          <w:cantSplit w:val="true"/>
        </w:trPr>
        <w:tc>
          <w:tcPr>
            <w:tcW w:type="dxa" w:w="648"/>
            <w:tcMar>
              <w:top w:w="80" w:type="dxa"/>
              <w:start w:w="105" w:type="dxa"/>
              <w:bottom w:w="80" w:type="dxa"/>
              <w:end w:w="105" w:type="dxa"/>
            </w:tcMar>
            <w:vAlign w:val="center"/>
          </w:tcPr>
          <w:p>
            <w:pPr>
              <w:spacing w:after="0"/>
            </w:pPr>
            <w:r>
              <w:rPr>
                <w:sz w:val="16"/>
              </w:rPr>
              <w:t>M1</w:t>
            </w:r>
          </w:p>
        </w:tc>
        <w:tc>
          <w:tcPr>
            <w:tcW w:type="dxa" w:w="2088"/>
            <w:tcMar>
              <w:top w:w="80" w:type="dxa"/>
              <w:start w:w="105" w:type="dxa"/>
              <w:bottom w:w="80" w:type="dxa"/>
              <w:end w:w="105" w:type="dxa"/>
            </w:tcMar>
            <w:vAlign w:val="center"/>
          </w:tcPr>
          <w:p>
            <w:pPr>
              <w:spacing w:after="0"/>
            </w:pPr>
            <w:r>
              <w:rPr>
                <w:sz w:val="16"/>
              </w:rPr>
              <w:t>Engineering foundation</w:t>
            </w:r>
          </w:p>
        </w:tc>
        <w:tc>
          <w:tcPr>
            <w:tcW w:type="dxa" w:w="1080"/>
            <w:tcMar>
              <w:top w:w="80" w:type="dxa"/>
              <w:start w:w="105" w:type="dxa"/>
              <w:bottom w:w="80" w:type="dxa"/>
              <w:end w:w="105" w:type="dxa"/>
            </w:tcMar>
            <w:vAlign w:val="center"/>
          </w:tcPr>
          <w:p>
            <w:pPr>
              <w:spacing w:after="0"/>
            </w:pPr>
            <w:r>
              <w:rPr>
                <w:sz w:val="16"/>
              </w:rPr>
              <w:t>S1–S2</w:t>
            </w:r>
          </w:p>
        </w:tc>
        <w:tc>
          <w:tcPr>
            <w:tcW w:type="dxa" w:w="864"/>
            <w:tcMar>
              <w:top w:w="80" w:type="dxa"/>
              <w:start w:w="105" w:type="dxa"/>
              <w:bottom w:w="80" w:type="dxa"/>
              <w:end w:w="105" w:type="dxa"/>
            </w:tcMar>
            <w:vAlign w:val="center"/>
          </w:tcPr>
          <w:p>
            <w:pPr>
              <w:spacing w:after="0"/>
            </w:pPr>
            <w:r>
              <w:rPr>
                <w:sz w:val="16"/>
              </w:rPr>
              <w:t>4 wks</w:t>
            </w:r>
          </w:p>
        </w:tc>
        <w:tc>
          <w:tcPr>
            <w:tcW w:type="dxa" w:w="4680"/>
            <w:tcMar>
              <w:top w:w="80" w:type="dxa"/>
              <w:start w:w="105" w:type="dxa"/>
              <w:bottom w:w="80" w:type="dxa"/>
              <w:end w:w="105" w:type="dxa"/>
            </w:tcMar>
            <w:vAlign w:val="center"/>
          </w:tcPr>
          <w:p>
            <w:pPr>
              <w:spacing w:after="0"/>
            </w:pPr>
            <w:r>
              <w:rPr>
                <w:sz w:val="16"/>
              </w:rPr>
              <w:t>Repository, local stack, CI, contracts, migration skeleton, telemetry baseline</w:t>
            </w:r>
          </w:p>
        </w:tc>
      </w:tr>
      <w:tr>
        <w:trPr>
          <w:cantSplit w:val="true"/>
        </w:trPr>
        <w:tc>
          <w:tcPr>
            <w:tcW w:type="dxa" w:w="648"/>
            <w:tcMar>
              <w:top w:w="80" w:type="dxa"/>
              <w:start w:w="105" w:type="dxa"/>
              <w:bottom w:w="80" w:type="dxa"/>
              <w:end w:w="105" w:type="dxa"/>
            </w:tcMar>
            <w:vAlign w:val="center"/>
          </w:tcPr>
          <w:p>
            <w:pPr>
              <w:spacing w:after="0"/>
            </w:pPr>
            <w:r>
              <w:rPr>
                <w:sz w:val="16"/>
              </w:rPr>
              <w:t>M2</w:t>
            </w:r>
          </w:p>
        </w:tc>
        <w:tc>
          <w:tcPr>
            <w:tcW w:type="dxa" w:w="2088"/>
            <w:tcMar>
              <w:top w:w="80" w:type="dxa"/>
              <w:start w:w="105" w:type="dxa"/>
              <w:bottom w:w="80" w:type="dxa"/>
              <w:end w:w="105" w:type="dxa"/>
            </w:tcMar>
            <w:vAlign w:val="center"/>
          </w:tcPr>
          <w:p>
            <w:pPr>
              <w:spacing w:after="0"/>
            </w:pPr>
            <w:r>
              <w:rPr>
                <w:sz w:val="16"/>
              </w:rPr>
              <w:t>Identity, RBAC, DB &amp; API foundation</w:t>
            </w:r>
          </w:p>
        </w:tc>
        <w:tc>
          <w:tcPr>
            <w:tcW w:type="dxa" w:w="1080"/>
            <w:tcMar>
              <w:top w:w="80" w:type="dxa"/>
              <w:start w:w="105" w:type="dxa"/>
              <w:bottom w:w="80" w:type="dxa"/>
              <w:end w:w="105" w:type="dxa"/>
            </w:tcMar>
            <w:vAlign w:val="center"/>
          </w:tcPr>
          <w:p>
            <w:pPr>
              <w:spacing w:after="0"/>
            </w:pPr>
            <w:r>
              <w:rPr>
                <w:sz w:val="16"/>
              </w:rPr>
              <w:t>S3–S4</w:t>
            </w:r>
          </w:p>
        </w:tc>
        <w:tc>
          <w:tcPr>
            <w:tcW w:type="dxa" w:w="864"/>
            <w:tcMar>
              <w:top w:w="80" w:type="dxa"/>
              <w:start w:w="105" w:type="dxa"/>
              <w:bottom w:w="80" w:type="dxa"/>
              <w:end w:w="105" w:type="dxa"/>
            </w:tcMar>
            <w:vAlign w:val="center"/>
          </w:tcPr>
          <w:p>
            <w:pPr>
              <w:spacing w:after="0"/>
            </w:pPr>
            <w:r>
              <w:rPr>
                <w:sz w:val="16"/>
              </w:rPr>
              <w:t>4 wks</w:t>
            </w:r>
          </w:p>
        </w:tc>
        <w:tc>
          <w:tcPr>
            <w:tcW w:type="dxa" w:w="4680"/>
            <w:tcMar>
              <w:top w:w="80" w:type="dxa"/>
              <w:start w:w="105" w:type="dxa"/>
              <w:bottom w:w="80" w:type="dxa"/>
              <w:end w:w="105" w:type="dxa"/>
            </w:tcMar>
            <w:vAlign w:val="center"/>
          </w:tcPr>
          <w:p>
            <w:pPr>
              <w:spacing w:after="0"/>
            </w:pPr>
            <w:r>
              <w:rPr>
                <w:sz w:val="16"/>
              </w:rPr>
              <w:t>Login/session, roles, core schemas, API conventions, secret storage</w:t>
            </w:r>
          </w:p>
        </w:tc>
      </w:tr>
      <w:tr>
        <w:trPr>
          <w:cantSplit w:val="true"/>
        </w:trPr>
        <w:tc>
          <w:tcPr>
            <w:tcW w:type="dxa" w:w="648"/>
            <w:tcMar>
              <w:top w:w="80" w:type="dxa"/>
              <w:start w:w="105" w:type="dxa"/>
              <w:bottom w:w="80" w:type="dxa"/>
              <w:end w:w="105" w:type="dxa"/>
            </w:tcMar>
            <w:vAlign w:val="center"/>
          </w:tcPr>
          <w:p>
            <w:pPr>
              <w:spacing w:after="0"/>
            </w:pPr>
            <w:r>
              <w:rPr>
                <w:sz w:val="16"/>
              </w:rPr>
              <w:t>M3</w:t>
            </w:r>
          </w:p>
        </w:tc>
        <w:tc>
          <w:tcPr>
            <w:tcW w:type="dxa" w:w="2088"/>
            <w:tcMar>
              <w:top w:w="80" w:type="dxa"/>
              <w:start w:w="105" w:type="dxa"/>
              <w:bottom w:w="80" w:type="dxa"/>
              <w:end w:w="105" w:type="dxa"/>
            </w:tcMar>
            <w:vAlign w:val="center"/>
          </w:tcPr>
          <w:p>
            <w:pPr>
              <w:spacing w:after="0"/>
            </w:pPr>
            <w:r>
              <w:rPr>
                <w:sz w:val="16"/>
              </w:rPr>
              <w:t>Tasks, audit &amp; observability</w:t>
            </w:r>
          </w:p>
        </w:tc>
        <w:tc>
          <w:tcPr>
            <w:tcW w:type="dxa" w:w="1080"/>
            <w:tcMar>
              <w:top w:w="80" w:type="dxa"/>
              <w:start w:w="105" w:type="dxa"/>
              <w:bottom w:w="80" w:type="dxa"/>
              <w:end w:w="105" w:type="dxa"/>
            </w:tcMar>
            <w:vAlign w:val="center"/>
          </w:tcPr>
          <w:p>
            <w:pPr>
              <w:spacing w:after="0"/>
            </w:pPr>
            <w:r>
              <w:rPr>
                <w:sz w:val="16"/>
              </w:rPr>
              <w:t>S5–S6</w:t>
            </w:r>
          </w:p>
        </w:tc>
        <w:tc>
          <w:tcPr>
            <w:tcW w:type="dxa" w:w="864"/>
            <w:tcMar>
              <w:top w:w="80" w:type="dxa"/>
              <w:start w:w="105" w:type="dxa"/>
              <w:bottom w:w="80" w:type="dxa"/>
              <w:end w:w="105" w:type="dxa"/>
            </w:tcMar>
            <w:vAlign w:val="center"/>
          </w:tcPr>
          <w:p>
            <w:pPr>
              <w:spacing w:after="0"/>
            </w:pPr>
            <w:r>
              <w:rPr>
                <w:sz w:val="16"/>
              </w:rPr>
              <w:t>4 wks</w:t>
            </w:r>
          </w:p>
        </w:tc>
        <w:tc>
          <w:tcPr>
            <w:tcW w:type="dxa" w:w="4680"/>
            <w:tcMar>
              <w:top w:w="80" w:type="dxa"/>
              <w:start w:w="105" w:type="dxa"/>
              <w:bottom w:w="80" w:type="dxa"/>
              <w:end w:w="105" w:type="dxa"/>
            </w:tcMar>
            <w:vAlign w:val="center"/>
          </w:tcPr>
          <w:p>
            <w:pPr>
              <w:spacing w:after="0"/>
            </w:pPr>
            <w:r>
              <w:rPr>
                <w:sz w:val="16"/>
              </w:rPr>
              <w:t>Durable task lifecycle, outbox, workers, audit chain, health/metrics</w:t>
            </w:r>
          </w:p>
        </w:tc>
      </w:tr>
      <w:tr>
        <w:trPr>
          <w:cantSplit w:val="true"/>
        </w:trPr>
        <w:tc>
          <w:tcPr>
            <w:tcW w:type="dxa" w:w="648"/>
            <w:tcMar>
              <w:top w:w="80" w:type="dxa"/>
              <w:start w:w="105" w:type="dxa"/>
              <w:bottom w:w="80" w:type="dxa"/>
              <w:end w:w="105" w:type="dxa"/>
            </w:tcMar>
            <w:vAlign w:val="center"/>
          </w:tcPr>
          <w:p>
            <w:pPr>
              <w:spacing w:after="0"/>
            </w:pPr>
            <w:r>
              <w:rPr>
                <w:sz w:val="16"/>
              </w:rPr>
              <w:t>M4</w:t>
            </w:r>
          </w:p>
        </w:tc>
        <w:tc>
          <w:tcPr>
            <w:tcW w:type="dxa" w:w="2088"/>
            <w:tcMar>
              <w:top w:w="80" w:type="dxa"/>
              <w:start w:w="105" w:type="dxa"/>
              <w:bottom w:w="80" w:type="dxa"/>
              <w:end w:w="105" w:type="dxa"/>
            </w:tcMar>
            <w:vAlign w:val="center"/>
          </w:tcPr>
          <w:p>
            <w:pPr>
              <w:spacing w:after="0"/>
            </w:pPr>
            <w:r>
              <w:rPr>
                <w:sz w:val="16"/>
              </w:rPr>
              <w:t>VMware vertical slice</w:t>
            </w:r>
          </w:p>
        </w:tc>
        <w:tc>
          <w:tcPr>
            <w:tcW w:type="dxa" w:w="1080"/>
            <w:tcMar>
              <w:top w:w="80" w:type="dxa"/>
              <w:start w:w="105" w:type="dxa"/>
              <w:bottom w:w="80" w:type="dxa"/>
              <w:end w:w="105" w:type="dxa"/>
            </w:tcMar>
            <w:vAlign w:val="center"/>
          </w:tcPr>
          <w:p>
            <w:pPr>
              <w:spacing w:after="0"/>
            </w:pPr>
            <w:r>
              <w:rPr>
                <w:sz w:val="16"/>
              </w:rPr>
              <w:t>S7–S9</w:t>
            </w:r>
          </w:p>
        </w:tc>
        <w:tc>
          <w:tcPr>
            <w:tcW w:type="dxa" w:w="864"/>
            <w:tcMar>
              <w:top w:w="80" w:type="dxa"/>
              <w:start w:w="105" w:type="dxa"/>
              <w:bottom w:w="80" w:type="dxa"/>
              <w:end w:w="105" w:type="dxa"/>
            </w:tcMar>
            <w:vAlign w:val="center"/>
          </w:tcPr>
          <w:p>
            <w:pPr>
              <w:spacing w:after="0"/>
            </w:pPr>
            <w:r>
              <w:rPr>
                <w:sz w:val="16"/>
              </w:rPr>
              <w:t>6 wks</w:t>
            </w:r>
          </w:p>
        </w:tc>
        <w:tc>
          <w:tcPr>
            <w:tcW w:type="dxa" w:w="4680"/>
            <w:tcMar>
              <w:top w:w="80" w:type="dxa"/>
              <w:start w:w="105" w:type="dxa"/>
              <w:bottom w:w="80" w:type="dxa"/>
              <w:end w:w="105" w:type="dxa"/>
            </w:tcMar>
            <w:vAlign w:val="center"/>
          </w:tcPr>
          <w:p>
            <w:pPr>
              <w:spacing w:after="0"/>
            </w:pPr>
            <w:r>
              <w:rPr>
                <w:sz w:val="16"/>
              </w:rPr>
              <w:t>Connect/discover/inventory/detail/start-stop-restart/tasks/audit end-to-end</w:t>
            </w:r>
          </w:p>
        </w:tc>
      </w:tr>
      <w:tr>
        <w:trPr>
          <w:cantSplit w:val="true"/>
        </w:trPr>
        <w:tc>
          <w:tcPr>
            <w:tcW w:type="dxa" w:w="648"/>
            <w:tcMar>
              <w:top w:w="80" w:type="dxa"/>
              <w:start w:w="105" w:type="dxa"/>
              <w:bottom w:w="80" w:type="dxa"/>
              <w:end w:w="105" w:type="dxa"/>
            </w:tcMar>
            <w:vAlign w:val="center"/>
          </w:tcPr>
          <w:p>
            <w:pPr>
              <w:spacing w:after="0"/>
            </w:pPr>
            <w:r>
              <w:rPr>
                <w:sz w:val="16"/>
              </w:rPr>
              <w:t>M5</w:t>
            </w:r>
          </w:p>
        </w:tc>
        <w:tc>
          <w:tcPr>
            <w:tcW w:type="dxa" w:w="2088"/>
            <w:tcMar>
              <w:top w:w="80" w:type="dxa"/>
              <w:start w:w="105" w:type="dxa"/>
              <w:bottom w:w="80" w:type="dxa"/>
              <w:end w:w="105" w:type="dxa"/>
            </w:tcMar>
            <w:vAlign w:val="center"/>
          </w:tcPr>
          <w:p>
            <w:pPr>
              <w:spacing w:after="0"/>
            </w:pPr>
            <w:r>
              <w:rPr>
                <w:sz w:val="16"/>
              </w:rPr>
              <w:t>Unified enterprise UI</w:t>
            </w:r>
          </w:p>
        </w:tc>
        <w:tc>
          <w:tcPr>
            <w:tcW w:type="dxa" w:w="1080"/>
            <w:tcMar>
              <w:top w:w="80" w:type="dxa"/>
              <w:start w:w="105" w:type="dxa"/>
              <w:bottom w:w="80" w:type="dxa"/>
              <w:end w:w="105" w:type="dxa"/>
            </w:tcMar>
            <w:vAlign w:val="center"/>
          </w:tcPr>
          <w:p>
            <w:pPr>
              <w:spacing w:after="0"/>
            </w:pPr>
            <w:r>
              <w:rPr>
                <w:sz w:val="16"/>
              </w:rPr>
              <w:t>S8–S11</w:t>
            </w:r>
          </w:p>
        </w:tc>
        <w:tc>
          <w:tcPr>
            <w:tcW w:type="dxa" w:w="864"/>
            <w:tcMar>
              <w:top w:w="80" w:type="dxa"/>
              <w:start w:w="105" w:type="dxa"/>
              <w:bottom w:w="80" w:type="dxa"/>
              <w:end w:w="105" w:type="dxa"/>
            </w:tcMar>
            <w:vAlign w:val="center"/>
          </w:tcPr>
          <w:p>
            <w:pPr>
              <w:spacing w:after="0"/>
            </w:pPr>
            <w:r>
              <w:rPr>
                <w:sz w:val="16"/>
              </w:rPr>
              <w:t>8 wks</w:t>
            </w:r>
          </w:p>
        </w:tc>
        <w:tc>
          <w:tcPr>
            <w:tcW w:type="dxa" w:w="4680"/>
            <w:tcMar>
              <w:top w:w="80" w:type="dxa"/>
              <w:start w:w="105" w:type="dxa"/>
              <w:bottom w:w="80" w:type="dxa"/>
              <w:end w:w="105" w:type="dxa"/>
            </w:tcMar>
            <w:vAlign w:val="center"/>
          </w:tcPr>
          <w:p>
            <w:pPr>
              <w:spacing w:after="0"/>
            </w:pPr>
            <w:r>
              <w:rPr>
                <w:sz w:val="16"/>
              </w:rPr>
              <w:t>Dashboard, hierarchy, inventory, detail, connection/admin/task UX; overlaps M4</w:t>
            </w:r>
          </w:p>
        </w:tc>
      </w:tr>
      <w:tr>
        <w:trPr>
          <w:cantSplit w:val="true"/>
        </w:trPr>
        <w:tc>
          <w:tcPr>
            <w:tcW w:type="dxa" w:w="648"/>
            <w:tcMar>
              <w:top w:w="80" w:type="dxa"/>
              <w:start w:w="105" w:type="dxa"/>
              <w:bottom w:w="80" w:type="dxa"/>
              <w:end w:w="105" w:type="dxa"/>
            </w:tcMar>
            <w:vAlign w:val="center"/>
          </w:tcPr>
          <w:p>
            <w:pPr>
              <w:spacing w:after="0"/>
            </w:pPr>
            <w:r>
              <w:rPr>
                <w:sz w:val="16"/>
              </w:rPr>
              <w:t>M6</w:t>
            </w:r>
          </w:p>
        </w:tc>
        <w:tc>
          <w:tcPr>
            <w:tcW w:type="dxa" w:w="2088"/>
            <w:tcMar>
              <w:top w:w="80" w:type="dxa"/>
              <w:start w:w="105" w:type="dxa"/>
              <w:bottom w:w="80" w:type="dxa"/>
              <w:end w:w="105" w:type="dxa"/>
            </w:tcMar>
            <w:vAlign w:val="center"/>
          </w:tcPr>
          <w:p>
            <w:pPr>
              <w:spacing w:after="0"/>
            </w:pPr>
            <w:r>
              <w:rPr>
                <w:sz w:val="16"/>
              </w:rPr>
              <w:t>Workstation agent</w:t>
            </w:r>
          </w:p>
        </w:tc>
        <w:tc>
          <w:tcPr>
            <w:tcW w:type="dxa" w:w="1080"/>
            <w:tcMar>
              <w:top w:w="80" w:type="dxa"/>
              <w:start w:w="105" w:type="dxa"/>
              <w:bottom w:w="80" w:type="dxa"/>
              <w:end w:w="105" w:type="dxa"/>
            </w:tcMar>
            <w:vAlign w:val="center"/>
          </w:tcPr>
          <w:p>
            <w:pPr>
              <w:spacing w:after="0"/>
            </w:pPr>
            <w:r>
              <w:rPr>
                <w:sz w:val="16"/>
              </w:rPr>
              <w:t>S10–S12</w:t>
            </w:r>
          </w:p>
        </w:tc>
        <w:tc>
          <w:tcPr>
            <w:tcW w:type="dxa" w:w="864"/>
            <w:tcMar>
              <w:top w:w="80" w:type="dxa"/>
              <w:start w:w="105" w:type="dxa"/>
              <w:bottom w:w="80" w:type="dxa"/>
              <w:end w:w="105" w:type="dxa"/>
            </w:tcMar>
            <w:vAlign w:val="center"/>
          </w:tcPr>
          <w:p>
            <w:pPr>
              <w:spacing w:after="0"/>
            </w:pPr>
            <w:r>
              <w:rPr>
                <w:sz w:val="16"/>
              </w:rPr>
              <w:t>6 wks</w:t>
            </w:r>
          </w:p>
        </w:tc>
        <w:tc>
          <w:tcPr>
            <w:tcW w:type="dxa" w:w="4680"/>
            <w:tcMar>
              <w:top w:w="80" w:type="dxa"/>
              <w:start w:w="105" w:type="dxa"/>
              <w:bottom w:w="80" w:type="dxa"/>
              <w:end w:w="105" w:type="dxa"/>
            </w:tcMar>
            <w:vAlign w:val="center"/>
          </w:tcPr>
          <w:p>
            <w:pPr>
              <w:spacing w:after="0"/>
            </w:pPr>
            <w:r>
              <w:rPr>
                <w:sz w:val="16"/>
              </w:rPr>
              <w:t>Enrollment, heartbeat, discovery, signed commands, lifecycle path</w:t>
            </w:r>
          </w:p>
        </w:tc>
      </w:tr>
      <w:tr>
        <w:trPr>
          <w:cantSplit w:val="true"/>
        </w:trPr>
        <w:tc>
          <w:tcPr>
            <w:tcW w:type="dxa" w:w="648"/>
            <w:tcMar>
              <w:top w:w="80" w:type="dxa"/>
              <w:start w:w="105" w:type="dxa"/>
              <w:bottom w:w="80" w:type="dxa"/>
              <w:end w:w="105" w:type="dxa"/>
            </w:tcMar>
            <w:vAlign w:val="center"/>
          </w:tcPr>
          <w:p>
            <w:pPr>
              <w:spacing w:after="0"/>
            </w:pPr>
            <w:r>
              <w:rPr>
                <w:sz w:val="16"/>
              </w:rPr>
              <w:t>M7</w:t>
            </w:r>
          </w:p>
        </w:tc>
        <w:tc>
          <w:tcPr>
            <w:tcW w:type="dxa" w:w="2088"/>
            <w:tcMar>
              <w:top w:w="80" w:type="dxa"/>
              <w:start w:w="105" w:type="dxa"/>
              <w:bottom w:w="80" w:type="dxa"/>
              <w:end w:w="105" w:type="dxa"/>
            </w:tcMar>
            <w:vAlign w:val="center"/>
          </w:tcPr>
          <w:p>
            <w:pPr>
              <w:spacing w:after="0"/>
            </w:pPr>
            <w:r>
              <w:rPr>
                <w:sz w:val="16"/>
              </w:rPr>
              <w:t>AWS EC2</w:t>
            </w:r>
          </w:p>
        </w:tc>
        <w:tc>
          <w:tcPr>
            <w:tcW w:type="dxa" w:w="1080"/>
            <w:tcMar>
              <w:top w:w="80" w:type="dxa"/>
              <w:start w:w="105" w:type="dxa"/>
              <w:bottom w:w="80" w:type="dxa"/>
              <w:end w:w="105" w:type="dxa"/>
            </w:tcMar>
            <w:vAlign w:val="center"/>
          </w:tcPr>
          <w:p>
            <w:pPr>
              <w:spacing w:after="0"/>
            </w:pPr>
            <w:r>
              <w:rPr>
                <w:sz w:val="16"/>
              </w:rPr>
              <w:t>S11–S13</w:t>
            </w:r>
          </w:p>
        </w:tc>
        <w:tc>
          <w:tcPr>
            <w:tcW w:type="dxa" w:w="864"/>
            <w:tcMar>
              <w:top w:w="80" w:type="dxa"/>
              <w:start w:w="105" w:type="dxa"/>
              <w:bottom w:w="80" w:type="dxa"/>
              <w:end w:w="105" w:type="dxa"/>
            </w:tcMar>
            <w:vAlign w:val="center"/>
          </w:tcPr>
          <w:p>
            <w:pPr>
              <w:spacing w:after="0"/>
            </w:pPr>
            <w:r>
              <w:rPr>
                <w:sz w:val="16"/>
              </w:rPr>
              <w:t>6 wks</w:t>
            </w:r>
          </w:p>
        </w:tc>
        <w:tc>
          <w:tcPr>
            <w:tcW w:type="dxa" w:w="4680"/>
            <w:tcMar>
              <w:top w:w="80" w:type="dxa"/>
              <w:start w:w="105" w:type="dxa"/>
              <w:bottom w:w="80" w:type="dxa"/>
              <w:end w:w="105" w:type="dxa"/>
            </w:tcMar>
            <w:vAlign w:val="center"/>
          </w:tcPr>
          <w:p>
            <w:pPr>
              <w:spacing w:after="0"/>
            </w:pPr>
            <w:r>
              <w:rPr>
                <w:sz w:val="16"/>
              </w:rPr>
              <w:t>Account/regions, discovery, normalized mapping, lifecycle operations</w:t>
            </w:r>
          </w:p>
        </w:tc>
      </w:tr>
      <w:tr>
        <w:trPr>
          <w:cantSplit w:val="true"/>
        </w:trPr>
        <w:tc>
          <w:tcPr>
            <w:tcW w:type="dxa" w:w="648"/>
            <w:tcMar>
              <w:top w:w="80" w:type="dxa"/>
              <w:start w:w="105" w:type="dxa"/>
              <w:bottom w:w="80" w:type="dxa"/>
              <w:end w:w="105" w:type="dxa"/>
            </w:tcMar>
            <w:vAlign w:val="center"/>
          </w:tcPr>
          <w:p>
            <w:pPr>
              <w:spacing w:after="0"/>
            </w:pPr>
            <w:r>
              <w:rPr>
                <w:sz w:val="16"/>
              </w:rPr>
              <w:t>M8</w:t>
            </w:r>
          </w:p>
        </w:tc>
        <w:tc>
          <w:tcPr>
            <w:tcW w:type="dxa" w:w="2088"/>
            <w:tcMar>
              <w:top w:w="80" w:type="dxa"/>
              <w:start w:w="105" w:type="dxa"/>
              <w:bottom w:w="80" w:type="dxa"/>
              <w:end w:w="105" w:type="dxa"/>
            </w:tcMar>
            <w:vAlign w:val="center"/>
          </w:tcPr>
          <w:p>
            <w:pPr>
              <w:spacing w:after="0"/>
            </w:pPr>
            <w:r>
              <w:rPr>
                <w:sz w:val="16"/>
              </w:rPr>
              <w:t>Azure VMs</w:t>
            </w:r>
          </w:p>
        </w:tc>
        <w:tc>
          <w:tcPr>
            <w:tcW w:type="dxa" w:w="1080"/>
            <w:tcMar>
              <w:top w:w="80" w:type="dxa"/>
              <w:start w:w="105" w:type="dxa"/>
              <w:bottom w:w="80" w:type="dxa"/>
              <w:end w:w="105" w:type="dxa"/>
            </w:tcMar>
            <w:vAlign w:val="center"/>
          </w:tcPr>
          <w:p>
            <w:pPr>
              <w:spacing w:after="0"/>
            </w:pPr>
            <w:r>
              <w:rPr>
                <w:sz w:val="16"/>
              </w:rPr>
              <w:t>S12–S14</w:t>
            </w:r>
          </w:p>
        </w:tc>
        <w:tc>
          <w:tcPr>
            <w:tcW w:type="dxa" w:w="864"/>
            <w:tcMar>
              <w:top w:w="80" w:type="dxa"/>
              <w:start w:w="105" w:type="dxa"/>
              <w:bottom w:w="80" w:type="dxa"/>
              <w:end w:w="105" w:type="dxa"/>
            </w:tcMar>
            <w:vAlign w:val="center"/>
          </w:tcPr>
          <w:p>
            <w:pPr>
              <w:spacing w:after="0"/>
            </w:pPr>
            <w:r>
              <w:rPr>
                <w:sz w:val="16"/>
              </w:rPr>
              <w:t>6 wks</w:t>
            </w:r>
          </w:p>
        </w:tc>
        <w:tc>
          <w:tcPr>
            <w:tcW w:type="dxa" w:w="4680"/>
            <w:tcMar>
              <w:top w:w="80" w:type="dxa"/>
              <w:start w:w="105" w:type="dxa"/>
              <w:bottom w:w="80" w:type="dxa"/>
              <w:end w:w="105" w:type="dxa"/>
            </w:tcMar>
            <w:vAlign w:val="center"/>
          </w:tcPr>
          <w:p>
            <w:pPr>
              <w:spacing w:after="0"/>
            </w:pPr>
            <w:r>
              <w:rPr>
                <w:sz w:val="16"/>
              </w:rPr>
              <w:t>Subscription discovery, LRO integration, stop/deallocate, lifecycle</w:t>
            </w:r>
          </w:p>
        </w:tc>
      </w:tr>
      <w:tr>
        <w:trPr>
          <w:cantSplit w:val="true"/>
        </w:trPr>
        <w:tc>
          <w:tcPr>
            <w:tcW w:type="dxa" w:w="648"/>
            <w:tcMar>
              <w:top w:w="80" w:type="dxa"/>
              <w:start w:w="105" w:type="dxa"/>
              <w:bottom w:w="80" w:type="dxa"/>
              <w:end w:w="105" w:type="dxa"/>
            </w:tcMar>
            <w:vAlign w:val="center"/>
          </w:tcPr>
          <w:p>
            <w:pPr>
              <w:spacing w:after="0"/>
            </w:pPr>
            <w:r>
              <w:rPr>
                <w:sz w:val="16"/>
              </w:rPr>
              <w:t>M9</w:t>
            </w:r>
          </w:p>
        </w:tc>
        <w:tc>
          <w:tcPr>
            <w:tcW w:type="dxa" w:w="2088"/>
            <w:tcMar>
              <w:top w:w="80" w:type="dxa"/>
              <w:start w:w="105" w:type="dxa"/>
              <w:bottom w:w="80" w:type="dxa"/>
              <w:end w:w="105" w:type="dxa"/>
            </w:tcMar>
            <w:vAlign w:val="center"/>
          </w:tcPr>
          <w:p>
            <w:pPr>
              <w:spacing w:after="0"/>
            </w:pPr>
            <w:r>
              <w:rPr>
                <w:sz w:val="16"/>
              </w:rPr>
              <w:t>Integrated qualification</w:t>
            </w:r>
          </w:p>
        </w:tc>
        <w:tc>
          <w:tcPr>
            <w:tcW w:type="dxa" w:w="1080"/>
            <w:tcMar>
              <w:top w:w="80" w:type="dxa"/>
              <w:start w:w="105" w:type="dxa"/>
              <w:bottom w:w="80" w:type="dxa"/>
              <w:end w:w="105" w:type="dxa"/>
            </w:tcMar>
            <w:vAlign w:val="center"/>
          </w:tcPr>
          <w:p>
            <w:pPr>
              <w:spacing w:after="0"/>
            </w:pPr>
            <w:r>
              <w:rPr>
                <w:sz w:val="16"/>
              </w:rPr>
              <w:t>S15</w:t>
            </w:r>
          </w:p>
        </w:tc>
        <w:tc>
          <w:tcPr>
            <w:tcW w:type="dxa" w:w="864"/>
            <w:tcMar>
              <w:top w:w="80" w:type="dxa"/>
              <w:start w:w="105" w:type="dxa"/>
              <w:bottom w:w="80" w:type="dxa"/>
              <w:end w:w="105" w:type="dxa"/>
            </w:tcMar>
            <w:vAlign w:val="center"/>
          </w:tcPr>
          <w:p>
            <w:pPr>
              <w:spacing w:after="0"/>
            </w:pPr>
            <w:r>
              <w:rPr>
                <w:sz w:val="16"/>
              </w:rPr>
              <w:t>2 wks</w:t>
            </w:r>
          </w:p>
        </w:tc>
        <w:tc>
          <w:tcPr>
            <w:tcW w:type="dxa" w:w="4680"/>
            <w:tcMar>
              <w:top w:w="80" w:type="dxa"/>
              <w:start w:w="105" w:type="dxa"/>
              <w:bottom w:w="80" w:type="dxa"/>
              <w:end w:w="105" w:type="dxa"/>
            </w:tcMar>
            <w:vAlign w:val="center"/>
          </w:tcPr>
          <w:p>
            <w:pPr>
              <w:spacing w:after="0"/>
            </w:pPr>
            <w:r>
              <w:rPr>
                <w:sz w:val="16"/>
              </w:rPr>
              <w:t>Security, scale, fault isolation, accessibility, recovery, docs</w:t>
            </w:r>
          </w:p>
        </w:tc>
      </w:tr>
      <w:tr>
        <w:trPr>
          <w:cantSplit w:val="true"/>
        </w:trPr>
        <w:tc>
          <w:tcPr>
            <w:tcW w:type="dxa" w:w="648"/>
            <w:tcMar>
              <w:top w:w="80" w:type="dxa"/>
              <w:start w:w="105" w:type="dxa"/>
              <w:bottom w:w="80" w:type="dxa"/>
              <w:end w:w="105" w:type="dxa"/>
            </w:tcMar>
            <w:vAlign w:val="center"/>
          </w:tcPr>
          <w:p>
            <w:pPr>
              <w:spacing w:after="0"/>
            </w:pPr>
            <w:r>
              <w:rPr>
                <w:sz w:val="16"/>
              </w:rPr>
              <w:t>M10</w:t>
            </w:r>
          </w:p>
        </w:tc>
        <w:tc>
          <w:tcPr>
            <w:tcW w:type="dxa" w:w="2088"/>
            <w:tcMar>
              <w:top w:w="80" w:type="dxa"/>
              <w:start w:w="105" w:type="dxa"/>
              <w:bottom w:w="80" w:type="dxa"/>
              <w:end w:w="105" w:type="dxa"/>
            </w:tcMar>
            <w:vAlign w:val="center"/>
          </w:tcPr>
          <w:p>
            <w:pPr>
              <w:spacing w:after="0"/>
            </w:pPr>
            <w:r>
              <w:rPr>
                <w:sz w:val="16"/>
              </w:rPr>
              <w:t>Release candidate</w:t>
            </w:r>
          </w:p>
        </w:tc>
        <w:tc>
          <w:tcPr>
            <w:tcW w:type="dxa" w:w="1080"/>
            <w:tcMar>
              <w:top w:w="80" w:type="dxa"/>
              <w:start w:w="105" w:type="dxa"/>
              <w:bottom w:w="80" w:type="dxa"/>
              <w:end w:w="105" w:type="dxa"/>
            </w:tcMar>
            <w:vAlign w:val="center"/>
          </w:tcPr>
          <w:p>
            <w:pPr>
              <w:spacing w:after="0"/>
            </w:pPr>
            <w:r>
              <w:rPr>
                <w:sz w:val="16"/>
              </w:rPr>
              <w:t>S16</w:t>
            </w:r>
          </w:p>
        </w:tc>
        <w:tc>
          <w:tcPr>
            <w:tcW w:type="dxa" w:w="864"/>
            <w:tcMar>
              <w:top w:w="80" w:type="dxa"/>
              <w:start w:w="105" w:type="dxa"/>
              <w:bottom w:w="80" w:type="dxa"/>
              <w:end w:w="105" w:type="dxa"/>
            </w:tcMar>
            <w:vAlign w:val="center"/>
          </w:tcPr>
          <w:p>
            <w:pPr>
              <w:spacing w:after="0"/>
            </w:pPr>
            <w:r>
              <w:rPr>
                <w:sz w:val="16"/>
              </w:rPr>
              <w:t>2 wks</w:t>
            </w:r>
          </w:p>
        </w:tc>
        <w:tc>
          <w:tcPr>
            <w:tcW w:type="dxa" w:w="4680"/>
            <w:tcMar>
              <w:top w:w="80" w:type="dxa"/>
              <w:start w:w="105" w:type="dxa"/>
              <w:bottom w:w="80" w:type="dxa"/>
              <w:end w:w="105" w:type="dxa"/>
            </w:tcMar>
            <w:vAlign w:val="center"/>
          </w:tcPr>
          <w:p>
            <w:pPr>
              <w:spacing w:after="0"/>
            </w:pPr>
            <w:r>
              <w:rPr>
                <w:sz w:val="16"/>
              </w:rPr>
              <w:t>Install/upgrade/restore, signed artifacts, traceability, approvals</w:t>
            </w:r>
          </w:p>
        </w:tc>
      </w:tr>
    </w:tbl>
    <w:p>
      <w:pPr>
        <w:spacing w:after="20"/>
      </w:pPr>
    </w:p>
    <w:p>
      <w:r>
        <w:t>Total elapsed baseline is 32 weeks because UI and later provider work overlap after stable contracts. Effort is greater than elapsed time and assumes the reference team. Reforecasting is mandatory after the VMware vertical slice.</w:t>
      </w:r>
    </w:p>
    <w:p>
      <w:pPr>
        <w:pStyle w:val="Heading1"/>
        <w:keepNext/>
      </w:pPr>
      <w:r>
        <w:t>8. Critical Path and Dependencies</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1440"/>
            <w:shd w:fill="17365D"/>
            <w:tcMar>
              <w:top w:w="80" w:type="dxa"/>
              <w:start w:w="105" w:type="dxa"/>
              <w:bottom w:w="80" w:type="dxa"/>
              <w:end w:w="105" w:type="dxa"/>
            </w:tcMar>
          </w:tcPr>
          <w:p>
            <w:r>
              <w:rPr>
                <w:b/>
                <w:color w:val="FFFFFF"/>
                <w:sz w:val="17"/>
              </w:rPr>
              <w:t>Predecessor</w:t>
            </w:r>
          </w:p>
        </w:tc>
        <w:tc>
          <w:tcPr>
            <w:tcW w:type="dxa" w:w="1728"/>
            <w:shd w:fill="17365D"/>
            <w:tcMar>
              <w:top w:w="80" w:type="dxa"/>
              <w:start w:w="105" w:type="dxa"/>
              <w:bottom w:w="80" w:type="dxa"/>
              <w:end w:w="105" w:type="dxa"/>
            </w:tcMar>
          </w:tcPr>
          <w:p>
            <w:r>
              <w:rPr>
                <w:b/>
                <w:color w:val="FFFFFF"/>
                <w:sz w:val="17"/>
              </w:rPr>
              <w:t>Successor</w:t>
            </w:r>
          </w:p>
        </w:tc>
        <w:tc>
          <w:tcPr>
            <w:tcW w:type="dxa" w:w="6192"/>
            <w:shd w:fill="17365D"/>
            <w:tcMar>
              <w:top w:w="80" w:type="dxa"/>
              <w:start w:w="105" w:type="dxa"/>
              <w:bottom w:w="80" w:type="dxa"/>
              <w:end w:w="105" w:type="dxa"/>
            </w:tcMar>
          </w:tcPr>
          <w:p>
            <w:r>
              <w:rPr>
                <w:b/>
                <w:color w:val="FFFFFF"/>
                <w:sz w:val="17"/>
              </w:rPr>
              <w:t>Dependency</w:t>
            </w:r>
          </w:p>
        </w:tc>
      </w:tr>
      <w:tr>
        <w:trPr>
          <w:cantSplit w:val="true"/>
        </w:trPr>
        <w:tc>
          <w:tcPr>
            <w:tcW w:type="dxa" w:w="1440"/>
            <w:tcMar>
              <w:top w:w="80" w:type="dxa"/>
              <w:start w:w="105" w:type="dxa"/>
              <w:bottom w:w="80" w:type="dxa"/>
              <w:end w:w="105" w:type="dxa"/>
            </w:tcMar>
            <w:vAlign w:val="center"/>
          </w:tcPr>
          <w:p>
            <w:pPr>
              <w:spacing w:after="0"/>
            </w:pPr>
            <w:r>
              <w:rPr>
                <w:sz w:val="17"/>
              </w:rPr>
              <w:t>M0</w:t>
            </w:r>
          </w:p>
        </w:tc>
        <w:tc>
          <w:tcPr>
            <w:tcW w:type="dxa" w:w="1728"/>
            <w:tcMar>
              <w:top w:w="80" w:type="dxa"/>
              <w:start w:w="105" w:type="dxa"/>
              <w:bottom w:w="80" w:type="dxa"/>
              <w:end w:w="105" w:type="dxa"/>
            </w:tcMar>
            <w:vAlign w:val="center"/>
          </w:tcPr>
          <w:p>
            <w:pPr>
              <w:spacing w:after="0"/>
            </w:pPr>
            <w:r>
              <w:rPr>
                <w:sz w:val="17"/>
              </w:rPr>
              <w:t>M1</w:t>
            </w:r>
          </w:p>
        </w:tc>
        <w:tc>
          <w:tcPr>
            <w:tcW w:type="dxa" w:w="6192"/>
            <w:tcMar>
              <w:top w:w="80" w:type="dxa"/>
              <w:start w:w="105" w:type="dxa"/>
              <w:bottom w:w="80" w:type="dxa"/>
              <w:end w:w="105" w:type="dxa"/>
            </w:tcMar>
            <w:vAlign w:val="center"/>
          </w:tcPr>
          <w:p>
            <w:pPr>
              <w:spacing w:after="0"/>
            </w:pPr>
            <w:r>
              <w:rPr>
                <w:sz w:val="17"/>
              </w:rPr>
              <w:t>Repository, decision owners, provider access requests</w:t>
            </w:r>
          </w:p>
        </w:tc>
      </w:tr>
      <w:tr>
        <w:trPr>
          <w:cantSplit w:val="true"/>
        </w:trPr>
        <w:tc>
          <w:tcPr>
            <w:tcW w:type="dxa" w:w="1440"/>
            <w:tcMar>
              <w:top w:w="80" w:type="dxa"/>
              <w:start w:w="105" w:type="dxa"/>
              <w:bottom w:w="80" w:type="dxa"/>
              <w:end w:w="105" w:type="dxa"/>
            </w:tcMar>
            <w:vAlign w:val="center"/>
          </w:tcPr>
          <w:p>
            <w:pPr>
              <w:spacing w:after="0"/>
            </w:pPr>
            <w:r>
              <w:rPr>
                <w:sz w:val="17"/>
              </w:rPr>
              <w:t>M1</w:t>
            </w:r>
          </w:p>
        </w:tc>
        <w:tc>
          <w:tcPr>
            <w:tcW w:type="dxa" w:w="1728"/>
            <w:tcMar>
              <w:top w:w="80" w:type="dxa"/>
              <w:start w:w="105" w:type="dxa"/>
              <w:bottom w:w="80" w:type="dxa"/>
              <w:end w:w="105" w:type="dxa"/>
            </w:tcMar>
            <w:vAlign w:val="center"/>
          </w:tcPr>
          <w:p>
            <w:pPr>
              <w:spacing w:after="0"/>
            </w:pPr>
            <w:r>
              <w:rPr>
                <w:sz w:val="17"/>
              </w:rPr>
              <w:t>M2</w:t>
            </w:r>
          </w:p>
        </w:tc>
        <w:tc>
          <w:tcPr>
            <w:tcW w:type="dxa" w:w="6192"/>
            <w:tcMar>
              <w:top w:w="80" w:type="dxa"/>
              <w:start w:w="105" w:type="dxa"/>
              <w:bottom w:w="80" w:type="dxa"/>
              <w:end w:w="105" w:type="dxa"/>
            </w:tcMar>
            <w:vAlign w:val="center"/>
          </w:tcPr>
          <w:p>
            <w:pPr>
              <w:spacing w:after="0"/>
            </w:pPr>
            <w:r>
              <w:rPr>
                <w:sz w:val="17"/>
              </w:rPr>
              <w:t>CI, local stack, architecture rules, migration and contract pipeline</w:t>
            </w:r>
          </w:p>
        </w:tc>
      </w:tr>
      <w:tr>
        <w:trPr>
          <w:cantSplit w:val="true"/>
        </w:trPr>
        <w:tc>
          <w:tcPr>
            <w:tcW w:type="dxa" w:w="1440"/>
            <w:tcMar>
              <w:top w:w="80" w:type="dxa"/>
              <w:start w:w="105" w:type="dxa"/>
              <w:bottom w:w="80" w:type="dxa"/>
              <w:end w:w="105" w:type="dxa"/>
            </w:tcMar>
            <w:vAlign w:val="center"/>
          </w:tcPr>
          <w:p>
            <w:pPr>
              <w:spacing w:after="0"/>
            </w:pPr>
            <w:r>
              <w:rPr>
                <w:sz w:val="17"/>
              </w:rPr>
              <w:t>M2</w:t>
            </w:r>
          </w:p>
        </w:tc>
        <w:tc>
          <w:tcPr>
            <w:tcW w:type="dxa" w:w="1728"/>
            <w:tcMar>
              <w:top w:w="80" w:type="dxa"/>
              <w:start w:w="105" w:type="dxa"/>
              <w:bottom w:w="80" w:type="dxa"/>
              <w:end w:w="105" w:type="dxa"/>
            </w:tcMar>
            <w:vAlign w:val="center"/>
          </w:tcPr>
          <w:p>
            <w:pPr>
              <w:spacing w:after="0"/>
            </w:pPr>
            <w:r>
              <w:rPr>
                <w:sz w:val="17"/>
              </w:rPr>
              <w:t>M3</w:t>
            </w:r>
          </w:p>
        </w:tc>
        <w:tc>
          <w:tcPr>
            <w:tcW w:type="dxa" w:w="6192"/>
            <w:tcMar>
              <w:top w:w="80" w:type="dxa"/>
              <w:start w:w="105" w:type="dxa"/>
              <w:bottom w:w="80" w:type="dxa"/>
              <w:end w:w="105" w:type="dxa"/>
            </w:tcMar>
            <w:vAlign w:val="center"/>
          </w:tcPr>
          <w:p>
            <w:pPr>
              <w:spacing w:after="0"/>
            </w:pPr>
            <w:r>
              <w:rPr>
                <w:sz w:val="17"/>
              </w:rPr>
              <w:t>Identity, database, secrets, API conventions</w:t>
            </w:r>
          </w:p>
        </w:tc>
      </w:tr>
      <w:tr>
        <w:trPr>
          <w:cantSplit w:val="true"/>
        </w:trPr>
        <w:tc>
          <w:tcPr>
            <w:tcW w:type="dxa" w:w="1440"/>
            <w:tcMar>
              <w:top w:w="80" w:type="dxa"/>
              <w:start w:w="105" w:type="dxa"/>
              <w:bottom w:w="80" w:type="dxa"/>
              <w:end w:w="105" w:type="dxa"/>
            </w:tcMar>
            <w:vAlign w:val="center"/>
          </w:tcPr>
          <w:p>
            <w:pPr>
              <w:spacing w:after="0"/>
            </w:pPr>
            <w:r>
              <w:rPr>
                <w:sz w:val="17"/>
              </w:rPr>
              <w:t>M3</w:t>
            </w:r>
          </w:p>
        </w:tc>
        <w:tc>
          <w:tcPr>
            <w:tcW w:type="dxa" w:w="1728"/>
            <w:tcMar>
              <w:top w:w="80" w:type="dxa"/>
              <w:start w:w="105" w:type="dxa"/>
              <w:bottom w:w="80" w:type="dxa"/>
              <w:end w:w="105" w:type="dxa"/>
            </w:tcMar>
            <w:vAlign w:val="center"/>
          </w:tcPr>
          <w:p>
            <w:pPr>
              <w:spacing w:after="0"/>
            </w:pPr>
            <w:r>
              <w:rPr>
                <w:sz w:val="17"/>
              </w:rPr>
              <w:t>M4</w:t>
            </w:r>
          </w:p>
        </w:tc>
        <w:tc>
          <w:tcPr>
            <w:tcW w:type="dxa" w:w="6192"/>
            <w:tcMar>
              <w:top w:w="80" w:type="dxa"/>
              <w:start w:w="105" w:type="dxa"/>
              <w:bottom w:w="80" w:type="dxa"/>
              <w:end w:w="105" w:type="dxa"/>
            </w:tcMar>
            <w:vAlign w:val="center"/>
          </w:tcPr>
          <w:p>
            <w:pPr>
              <w:spacing w:after="0"/>
            </w:pPr>
            <w:r>
              <w:rPr>
                <w:sz w:val="17"/>
              </w:rPr>
              <w:t>Tasks, audit, adapter SPI, observability, error model</w:t>
            </w:r>
          </w:p>
        </w:tc>
      </w:tr>
      <w:tr>
        <w:trPr>
          <w:cantSplit w:val="true"/>
        </w:trPr>
        <w:tc>
          <w:tcPr>
            <w:tcW w:type="dxa" w:w="1440"/>
            <w:tcMar>
              <w:top w:w="80" w:type="dxa"/>
              <w:start w:w="105" w:type="dxa"/>
              <w:bottom w:w="80" w:type="dxa"/>
              <w:end w:w="105" w:type="dxa"/>
            </w:tcMar>
            <w:vAlign w:val="center"/>
          </w:tcPr>
          <w:p>
            <w:pPr>
              <w:spacing w:after="0"/>
            </w:pPr>
            <w:r>
              <w:rPr>
                <w:sz w:val="17"/>
              </w:rPr>
              <w:t>M4</w:t>
            </w:r>
          </w:p>
        </w:tc>
        <w:tc>
          <w:tcPr>
            <w:tcW w:type="dxa" w:w="1728"/>
            <w:tcMar>
              <w:top w:w="80" w:type="dxa"/>
              <w:start w:w="105" w:type="dxa"/>
              <w:bottom w:w="80" w:type="dxa"/>
              <w:end w:w="105" w:type="dxa"/>
            </w:tcMar>
            <w:vAlign w:val="center"/>
          </w:tcPr>
          <w:p>
            <w:pPr>
              <w:spacing w:after="0"/>
            </w:pPr>
            <w:r>
              <w:rPr>
                <w:sz w:val="17"/>
              </w:rPr>
              <w:t>M5 completion</w:t>
            </w:r>
          </w:p>
        </w:tc>
        <w:tc>
          <w:tcPr>
            <w:tcW w:type="dxa" w:w="6192"/>
            <w:tcMar>
              <w:top w:w="80" w:type="dxa"/>
              <w:start w:w="105" w:type="dxa"/>
              <w:bottom w:w="80" w:type="dxa"/>
              <w:end w:w="105" w:type="dxa"/>
            </w:tcMar>
            <w:vAlign w:val="center"/>
          </w:tcPr>
          <w:p>
            <w:pPr>
              <w:spacing w:after="0"/>
            </w:pPr>
            <w:r>
              <w:rPr>
                <w:sz w:val="17"/>
              </w:rPr>
              <w:t>Real provider data/actions validate UI contracts</w:t>
            </w:r>
          </w:p>
        </w:tc>
      </w:tr>
      <w:tr>
        <w:trPr>
          <w:cantSplit w:val="true"/>
        </w:trPr>
        <w:tc>
          <w:tcPr>
            <w:tcW w:type="dxa" w:w="1440"/>
            <w:tcMar>
              <w:top w:w="80" w:type="dxa"/>
              <w:start w:w="105" w:type="dxa"/>
              <w:bottom w:w="80" w:type="dxa"/>
              <w:end w:w="105" w:type="dxa"/>
            </w:tcMar>
            <w:vAlign w:val="center"/>
          </w:tcPr>
          <w:p>
            <w:pPr>
              <w:spacing w:after="0"/>
            </w:pPr>
            <w:r>
              <w:rPr>
                <w:sz w:val="17"/>
              </w:rPr>
              <w:t>M4</w:t>
            </w:r>
          </w:p>
        </w:tc>
        <w:tc>
          <w:tcPr>
            <w:tcW w:type="dxa" w:w="1728"/>
            <w:tcMar>
              <w:top w:w="80" w:type="dxa"/>
              <w:start w:w="105" w:type="dxa"/>
              <w:bottom w:w="80" w:type="dxa"/>
              <w:end w:w="105" w:type="dxa"/>
            </w:tcMar>
            <w:vAlign w:val="center"/>
          </w:tcPr>
          <w:p>
            <w:pPr>
              <w:spacing w:after="0"/>
            </w:pPr>
            <w:r>
              <w:rPr>
                <w:sz w:val="17"/>
              </w:rPr>
              <w:t>M6/M7/M8</w:t>
            </w:r>
          </w:p>
        </w:tc>
        <w:tc>
          <w:tcPr>
            <w:tcW w:type="dxa" w:w="6192"/>
            <w:tcMar>
              <w:top w:w="80" w:type="dxa"/>
              <w:start w:w="105" w:type="dxa"/>
              <w:bottom w:w="80" w:type="dxa"/>
              <w:end w:w="105" w:type="dxa"/>
            </w:tcMar>
            <w:vAlign w:val="center"/>
          </w:tcPr>
          <w:p>
            <w:pPr>
              <w:spacing w:after="0"/>
            </w:pPr>
            <w:r>
              <w:rPr>
                <w:sz w:val="17"/>
              </w:rPr>
              <w:t>Adapter conformance pattern and task semantics proven</w:t>
            </w:r>
          </w:p>
        </w:tc>
      </w:tr>
      <w:tr>
        <w:trPr>
          <w:cantSplit w:val="true"/>
        </w:trPr>
        <w:tc>
          <w:tcPr>
            <w:tcW w:type="dxa" w:w="1440"/>
            <w:tcMar>
              <w:top w:w="80" w:type="dxa"/>
              <w:start w:w="105" w:type="dxa"/>
              <w:bottom w:w="80" w:type="dxa"/>
              <w:end w:w="105" w:type="dxa"/>
            </w:tcMar>
            <w:vAlign w:val="center"/>
          </w:tcPr>
          <w:p>
            <w:pPr>
              <w:spacing w:after="0"/>
            </w:pPr>
            <w:r>
              <w:rPr>
                <w:sz w:val="17"/>
              </w:rPr>
              <w:t>M6/M7/M8</w:t>
            </w:r>
          </w:p>
        </w:tc>
        <w:tc>
          <w:tcPr>
            <w:tcW w:type="dxa" w:w="1728"/>
            <w:tcMar>
              <w:top w:w="80" w:type="dxa"/>
              <w:start w:w="105" w:type="dxa"/>
              <w:bottom w:w="80" w:type="dxa"/>
              <w:end w:w="105" w:type="dxa"/>
            </w:tcMar>
            <w:vAlign w:val="center"/>
          </w:tcPr>
          <w:p>
            <w:pPr>
              <w:spacing w:after="0"/>
            </w:pPr>
            <w:r>
              <w:rPr>
                <w:sz w:val="17"/>
              </w:rPr>
              <w:t>M9</w:t>
            </w:r>
          </w:p>
        </w:tc>
        <w:tc>
          <w:tcPr>
            <w:tcW w:type="dxa" w:w="6192"/>
            <w:tcMar>
              <w:top w:w="80" w:type="dxa"/>
              <w:start w:w="105" w:type="dxa"/>
              <w:bottom w:w="80" w:type="dxa"/>
              <w:end w:w="105" w:type="dxa"/>
            </w:tcMar>
            <w:vAlign w:val="center"/>
          </w:tcPr>
          <w:p>
            <w:pPr>
              <w:spacing w:after="0"/>
            </w:pPr>
            <w:r>
              <w:rPr>
                <w:sz w:val="17"/>
              </w:rPr>
              <w:t>All providers pass functional and failure suites</w:t>
            </w:r>
          </w:p>
        </w:tc>
      </w:tr>
      <w:tr>
        <w:trPr>
          <w:cantSplit w:val="true"/>
        </w:trPr>
        <w:tc>
          <w:tcPr>
            <w:tcW w:type="dxa" w:w="1440"/>
            <w:tcMar>
              <w:top w:w="80" w:type="dxa"/>
              <w:start w:w="105" w:type="dxa"/>
              <w:bottom w:w="80" w:type="dxa"/>
              <w:end w:w="105" w:type="dxa"/>
            </w:tcMar>
            <w:vAlign w:val="center"/>
          </w:tcPr>
          <w:p>
            <w:pPr>
              <w:spacing w:after="0"/>
            </w:pPr>
            <w:r>
              <w:rPr>
                <w:sz w:val="17"/>
              </w:rPr>
              <w:t>M5 + M9</w:t>
            </w:r>
          </w:p>
        </w:tc>
        <w:tc>
          <w:tcPr>
            <w:tcW w:type="dxa" w:w="1728"/>
            <w:tcMar>
              <w:top w:w="80" w:type="dxa"/>
              <w:start w:w="105" w:type="dxa"/>
              <w:bottom w:w="80" w:type="dxa"/>
              <w:end w:w="105" w:type="dxa"/>
            </w:tcMar>
            <w:vAlign w:val="center"/>
          </w:tcPr>
          <w:p>
            <w:pPr>
              <w:spacing w:after="0"/>
            </w:pPr>
            <w:r>
              <w:rPr>
                <w:sz w:val="17"/>
              </w:rPr>
              <w:t>M10</w:t>
            </w:r>
          </w:p>
        </w:tc>
        <w:tc>
          <w:tcPr>
            <w:tcW w:type="dxa" w:w="6192"/>
            <w:tcMar>
              <w:top w:w="80" w:type="dxa"/>
              <w:start w:w="105" w:type="dxa"/>
              <w:bottom w:w="80" w:type="dxa"/>
              <w:end w:w="105" w:type="dxa"/>
            </w:tcMar>
            <w:vAlign w:val="center"/>
          </w:tcPr>
          <w:p>
            <w:pPr>
              <w:spacing w:after="0"/>
            </w:pPr>
            <w:r>
              <w:rPr>
                <w:sz w:val="17"/>
              </w:rPr>
              <w:t>Integrated UX, security, recovery, documentation evidence</w:t>
            </w:r>
          </w:p>
        </w:tc>
      </w:tr>
    </w:tbl>
    <w:p>
      <w:pPr>
        <w:spacing w:after="20"/>
      </w:pPr>
    </w:p>
    <w:p>
      <w:pPr>
        <w:pStyle w:val="Heading2"/>
        <w:keepNext/>
      </w:pPr>
      <w:r>
        <w:t>8.1 Critical external dependencies</w:t>
      </w:r>
    </w:p>
    <w:p>
      <w:pPr>
        <w:pStyle w:val="ListBullet"/>
      </w:pPr>
      <w:r>
        <w:t>Supported vCenter/ESXi and Workstation licenses/test hosts</w:t>
      </w:r>
    </w:p>
    <w:p>
      <w:pPr>
        <w:pStyle w:val="ListBullet"/>
      </w:pPr>
      <w:r>
        <w:t>AWS account and Azure subscription with least-privilege test identities</w:t>
      </w:r>
    </w:p>
    <w:p>
      <w:pPr>
        <w:pStyle w:val="ListBullet"/>
      </w:pPr>
      <w:r>
        <w:t>TLS certificates and key-management integration</w:t>
      </w:r>
    </w:p>
    <w:p>
      <w:pPr>
        <w:pStyle w:val="ListBullet"/>
      </w:pPr>
      <w:r>
        <w:t>Backend runtime, broker, agent transport, and deployment ADR closure</w:t>
      </w:r>
    </w:p>
    <w:p>
      <w:pPr>
        <w:pStyle w:val="ListBullet"/>
      </w:pPr>
      <w:r>
        <w:t>UI/UX specification delivered before M5 interaction freeze</w:t>
      </w:r>
    </w:p>
    <w:p>
      <w:pPr>
        <w:pStyle w:val="Heading1"/>
        <w:keepNext/>
        <w:pageBreakBefore/>
      </w:pPr>
      <w:r>
        <w:t>9. M0 — Program Mobilization</w:t>
      </w:r>
    </w:p>
    <w:tbl>
      <w:tblPr>
        <w:tblStyle w:val="TableGrid"/>
        <w:tblW w:type="auto" w:w="0"/>
        <w:tblLayout w:type="fixed"/>
        <w:tblLook w:firstColumn="1" w:firstRow="1" w:lastColumn="0" w:lastRow="0" w:noHBand="0" w:noVBand="1" w:val="04A0"/>
      </w:tblPr>
      <w:tblGrid>
        <w:gridCol w:w="1953"/>
        <w:gridCol w:w="1953"/>
        <w:gridCol w:w="1953"/>
        <w:gridCol w:w="1953"/>
        <w:gridCol w:w="1953"/>
      </w:tblGrid>
      <w:tr>
        <w:trPr>
          <w:tblHeader w:val="true"/>
        </w:trPr>
        <w:tc>
          <w:tcPr>
            <w:tcW w:type="dxa" w:w="1224"/>
            <w:shd w:fill="17365D"/>
            <w:tcMar>
              <w:top w:w="80" w:type="dxa"/>
              <w:start w:w="105" w:type="dxa"/>
              <w:bottom w:w="80" w:type="dxa"/>
              <w:end w:w="105" w:type="dxa"/>
            </w:tcMar>
          </w:tcPr>
          <w:p>
            <w:r>
              <w:rPr>
                <w:b/>
                <w:color w:val="FFFFFF"/>
                <w:sz w:val="16"/>
              </w:rPr>
              <w:t>Backlog ID</w:t>
            </w:r>
          </w:p>
        </w:tc>
        <w:tc>
          <w:tcPr>
            <w:tcW w:type="dxa" w:w="3744"/>
            <w:shd w:fill="17365D"/>
            <w:tcMar>
              <w:top w:w="80" w:type="dxa"/>
              <w:start w:w="105" w:type="dxa"/>
              <w:bottom w:w="80" w:type="dxa"/>
              <w:end w:w="105" w:type="dxa"/>
            </w:tcMar>
          </w:tcPr>
          <w:p>
            <w:r>
              <w:rPr>
                <w:b/>
                <w:color w:val="FFFFFF"/>
                <w:sz w:val="16"/>
              </w:rPr>
              <w:t>Story / task</w:t>
            </w:r>
          </w:p>
        </w:tc>
        <w:tc>
          <w:tcPr>
            <w:tcW w:type="dxa" w:w="1224"/>
            <w:shd w:fill="17365D"/>
            <w:tcMar>
              <w:top w:w="80" w:type="dxa"/>
              <w:start w:w="105" w:type="dxa"/>
              <w:bottom w:w="80" w:type="dxa"/>
              <w:end w:w="105" w:type="dxa"/>
            </w:tcMar>
          </w:tcPr>
          <w:p>
            <w:r>
              <w:rPr>
                <w:b/>
                <w:color w:val="FFFFFF"/>
                <w:sz w:val="16"/>
              </w:rPr>
              <w:t>Owner</w:t>
            </w:r>
          </w:p>
        </w:tc>
        <w:tc>
          <w:tcPr>
            <w:tcW w:type="dxa" w:w="936"/>
            <w:shd w:fill="17365D"/>
            <w:tcMar>
              <w:top w:w="80" w:type="dxa"/>
              <w:start w:w="105" w:type="dxa"/>
              <w:bottom w:w="80" w:type="dxa"/>
              <w:end w:w="105" w:type="dxa"/>
            </w:tcMar>
          </w:tcPr>
          <w:p>
            <w:r>
              <w:rPr>
                <w:b/>
                <w:color w:val="FFFFFF"/>
                <w:sz w:val="16"/>
              </w:rPr>
              <w:t>Estimate</w:t>
            </w:r>
          </w:p>
        </w:tc>
        <w:tc>
          <w:tcPr>
            <w:tcW w:type="dxa" w:w="2952"/>
            <w:shd w:fill="17365D"/>
            <w:tcMar>
              <w:top w:w="80" w:type="dxa"/>
              <w:start w:w="105" w:type="dxa"/>
              <w:bottom w:w="80" w:type="dxa"/>
              <w:end w:w="105" w:type="dxa"/>
            </w:tcMar>
          </w:tcPr>
          <w:p>
            <w:r>
              <w:rPr>
                <w:b/>
                <w:color w:val="FFFFFF"/>
                <w:sz w:val="16"/>
              </w:rPr>
              <w:t>Acceptance evidence</w:t>
            </w:r>
          </w:p>
        </w:tc>
      </w:tr>
      <w:tr>
        <w:trPr>
          <w:cantSplit w:val="true"/>
        </w:trPr>
        <w:tc>
          <w:tcPr>
            <w:tcW w:type="dxa" w:w="1224"/>
            <w:tcMar>
              <w:top w:w="80" w:type="dxa"/>
              <w:start w:w="105" w:type="dxa"/>
              <w:bottom w:w="80" w:type="dxa"/>
              <w:end w:w="105" w:type="dxa"/>
            </w:tcMar>
            <w:vAlign w:val="center"/>
          </w:tcPr>
          <w:p>
            <w:pPr>
              <w:spacing w:after="0"/>
            </w:pPr>
            <w:r>
              <w:rPr>
                <w:sz w:val="16"/>
              </w:rPr>
              <w:t>IMP-0001</w:t>
            </w:r>
          </w:p>
        </w:tc>
        <w:tc>
          <w:tcPr>
            <w:tcW w:type="dxa" w:w="3744"/>
            <w:tcMar>
              <w:top w:w="80" w:type="dxa"/>
              <w:start w:w="105" w:type="dxa"/>
              <w:bottom w:w="80" w:type="dxa"/>
              <w:end w:w="105" w:type="dxa"/>
            </w:tcMar>
            <w:vAlign w:val="center"/>
          </w:tcPr>
          <w:p>
            <w:pPr>
              <w:spacing w:after="0"/>
            </w:pPr>
            <w:r>
              <w:rPr>
                <w:sz w:val="16"/>
              </w:rPr>
              <w:t>Approve implementation plan and scope baseline</w:t>
            </w:r>
          </w:p>
        </w:tc>
        <w:tc>
          <w:tcPr>
            <w:tcW w:type="dxa" w:w="1224"/>
            <w:tcMar>
              <w:top w:w="80" w:type="dxa"/>
              <w:start w:w="105" w:type="dxa"/>
              <w:bottom w:w="80" w:type="dxa"/>
              <w:end w:w="105" w:type="dxa"/>
            </w:tcMar>
            <w:vAlign w:val="center"/>
          </w:tcPr>
          <w:p>
            <w:pPr>
              <w:spacing w:after="0"/>
            </w:pPr>
            <w:r>
              <w:rPr>
                <w:sz w:val="16"/>
              </w:rPr>
              <w:t>Product/Tech</w:t>
            </w:r>
          </w:p>
        </w:tc>
        <w:tc>
          <w:tcPr>
            <w:tcW w:type="dxa" w:w="936"/>
            <w:tcMar>
              <w:top w:w="80" w:type="dxa"/>
              <w:start w:w="105" w:type="dxa"/>
              <w:bottom w:w="80" w:type="dxa"/>
              <w:end w:w="105" w:type="dxa"/>
            </w:tcMar>
            <w:vAlign w:val="center"/>
          </w:tcPr>
          <w:p>
            <w:pPr>
              <w:spacing w:after="0"/>
            </w:pPr>
            <w:r>
              <w:rPr>
                <w:sz w:val="16"/>
              </w:rPr>
              <w:t>3d</w:t>
            </w:r>
          </w:p>
        </w:tc>
        <w:tc>
          <w:tcPr>
            <w:tcW w:type="dxa" w:w="2952"/>
            <w:tcMar>
              <w:top w:w="80" w:type="dxa"/>
              <w:start w:w="105" w:type="dxa"/>
              <w:bottom w:w="80" w:type="dxa"/>
              <w:end w:w="105" w:type="dxa"/>
            </w:tcMar>
            <w:vAlign w:val="center"/>
          </w:tcPr>
          <w:p>
            <w:pPr>
              <w:spacing w:after="0"/>
            </w:pPr>
            <w:r>
              <w:rPr>
                <w:sz w:val="16"/>
              </w:rPr>
              <w:t>Signed gate record; change-control process</w:t>
            </w:r>
          </w:p>
        </w:tc>
      </w:tr>
      <w:tr>
        <w:trPr>
          <w:cantSplit w:val="true"/>
        </w:trPr>
        <w:tc>
          <w:tcPr>
            <w:tcW w:type="dxa" w:w="1224"/>
            <w:tcMar>
              <w:top w:w="80" w:type="dxa"/>
              <w:start w:w="105" w:type="dxa"/>
              <w:bottom w:w="80" w:type="dxa"/>
              <w:end w:w="105" w:type="dxa"/>
            </w:tcMar>
            <w:vAlign w:val="center"/>
          </w:tcPr>
          <w:p>
            <w:pPr>
              <w:spacing w:after="0"/>
            </w:pPr>
            <w:r>
              <w:rPr>
                <w:sz w:val="16"/>
              </w:rPr>
              <w:t>IMP-0002</w:t>
            </w:r>
          </w:p>
        </w:tc>
        <w:tc>
          <w:tcPr>
            <w:tcW w:type="dxa" w:w="3744"/>
            <w:tcMar>
              <w:top w:w="80" w:type="dxa"/>
              <w:start w:w="105" w:type="dxa"/>
              <w:bottom w:w="80" w:type="dxa"/>
              <w:end w:w="105" w:type="dxa"/>
            </w:tcMar>
            <w:vAlign w:val="center"/>
          </w:tcPr>
          <w:p>
            <w:pPr>
              <w:spacing w:after="0"/>
            </w:pPr>
            <w:r>
              <w:rPr>
                <w:sz w:val="16"/>
              </w:rPr>
              <w:t>Assign ADR owners and decision dates</w:t>
            </w:r>
          </w:p>
        </w:tc>
        <w:tc>
          <w:tcPr>
            <w:tcW w:type="dxa" w:w="1224"/>
            <w:tcMar>
              <w:top w:w="80" w:type="dxa"/>
              <w:start w:w="105" w:type="dxa"/>
              <w:bottom w:w="80" w:type="dxa"/>
              <w:end w:w="105" w:type="dxa"/>
            </w:tcMar>
            <w:vAlign w:val="center"/>
          </w:tcPr>
          <w:p>
            <w:pPr>
              <w:spacing w:after="0"/>
            </w:pPr>
            <w:r>
              <w:rPr>
                <w:sz w:val="16"/>
              </w:rPr>
              <w:t>Tech Lead</w:t>
            </w:r>
          </w:p>
        </w:tc>
        <w:tc>
          <w:tcPr>
            <w:tcW w:type="dxa" w:w="936"/>
            <w:tcMar>
              <w:top w:w="80" w:type="dxa"/>
              <w:start w:w="105" w:type="dxa"/>
              <w:bottom w:w="80" w:type="dxa"/>
              <w:end w:w="105" w:type="dxa"/>
            </w:tcMar>
            <w:vAlign w:val="center"/>
          </w:tcPr>
          <w:p>
            <w:pPr>
              <w:spacing w:after="0"/>
            </w:pPr>
            <w:r>
              <w:rPr>
                <w:sz w:val="16"/>
              </w:rPr>
              <w:t>1d</w:t>
            </w:r>
          </w:p>
        </w:tc>
        <w:tc>
          <w:tcPr>
            <w:tcW w:type="dxa" w:w="2952"/>
            <w:tcMar>
              <w:top w:w="80" w:type="dxa"/>
              <w:start w:w="105" w:type="dxa"/>
              <w:bottom w:w="80" w:type="dxa"/>
              <w:end w:w="105" w:type="dxa"/>
            </w:tcMar>
            <w:vAlign w:val="center"/>
          </w:tcPr>
          <w:p>
            <w:pPr>
              <w:spacing w:after="0"/>
            </w:pPr>
            <w:r>
              <w:rPr>
                <w:sz w:val="16"/>
              </w:rPr>
              <w:t>ADR tracker with evidence requirements</w:t>
            </w:r>
          </w:p>
        </w:tc>
      </w:tr>
      <w:tr>
        <w:trPr>
          <w:cantSplit w:val="true"/>
        </w:trPr>
        <w:tc>
          <w:tcPr>
            <w:tcW w:type="dxa" w:w="1224"/>
            <w:tcMar>
              <w:top w:w="80" w:type="dxa"/>
              <w:start w:w="105" w:type="dxa"/>
              <w:bottom w:w="80" w:type="dxa"/>
              <w:end w:w="105" w:type="dxa"/>
            </w:tcMar>
            <w:vAlign w:val="center"/>
          </w:tcPr>
          <w:p>
            <w:pPr>
              <w:spacing w:after="0"/>
            </w:pPr>
            <w:r>
              <w:rPr>
                <w:sz w:val="16"/>
              </w:rPr>
              <w:t>IMP-0003</w:t>
            </w:r>
          </w:p>
        </w:tc>
        <w:tc>
          <w:tcPr>
            <w:tcW w:type="dxa" w:w="3744"/>
            <w:tcMar>
              <w:top w:w="80" w:type="dxa"/>
              <w:start w:w="105" w:type="dxa"/>
              <w:bottom w:w="80" w:type="dxa"/>
              <w:end w:w="105" w:type="dxa"/>
            </w:tcMar>
            <w:vAlign w:val="center"/>
          </w:tcPr>
          <w:p>
            <w:pPr>
              <w:spacing w:after="0"/>
            </w:pPr>
            <w:r>
              <w:rPr>
                <w:sz w:val="16"/>
              </w:rPr>
              <w:t>Provision provider labs and cloud test identities</w:t>
            </w:r>
          </w:p>
        </w:tc>
        <w:tc>
          <w:tcPr>
            <w:tcW w:type="dxa" w:w="1224"/>
            <w:tcMar>
              <w:top w:w="80" w:type="dxa"/>
              <w:start w:w="105" w:type="dxa"/>
              <w:bottom w:w="80" w:type="dxa"/>
              <w:end w:w="105" w:type="dxa"/>
            </w:tcMar>
            <w:vAlign w:val="center"/>
          </w:tcPr>
          <w:p>
            <w:pPr>
              <w:spacing w:after="0"/>
            </w:pPr>
            <w:r>
              <w:rPr>
                <w:sz w:val="16"/>
              </w:rPr>
              <w:t>Ops/Providers</w:t>
            </w:r>
          </w:p>
        </w:tc>
        <w:tc>
          <w:tcPr>
            <w:tcW w:type="dxa" w:w="936"/>
            <w:tcMar>
              <w:top w:w="80" w:type="dxa"/>
              <w:start w:w="105" w:type="dxa"/>
              <w:bottom w:w="80" w:type="dxa"/>
              <w:end w:w="105" w:type="dxa"/>
            </w:tcMar>
            <w:vAlign w:val="center"/>
          </w:tcPr>
          <w:p>
            <w:pPr>
              <w:spacing w:after="0"/>
            </w:pPr>
            <w:r>
              <w:rPr>
                <w:sz w:val="16"/>
              </w:rPr>
              <w:t>5–10d</w:t>
            </w:r>
          </w:p>
        </w:tc>
        <w:tc>
          <w:tcPr>
            <w:tcW w:type="dxa" w:w="2952"/>
            <w:tcMar>
              <w:top w:w="80" w:type="dxa"/>
              <w:start w:w="105" w:type="dxa"/>
              <w:bottom w:w="80" w:type="dxa"/>
              <w:end w:w="105" w:type="dxa"/>
            </w:tcMar>
            <w:vAlign w:val="center"/>
          </w:tcPr>
          <w:p>
            <w:pPr>
              <w:spacing w:after="0"/>
            </w:pPr>
            <w:r>
              <w:rPr>
                <w:sz w:val="16"/>
              </w:rPr>
              <w:t>Connectivity and least-privilege validation</w:t>
            </w:r>
          </w:p>
        </w:tc>
      </w:tr>
      <w:tr>
        <w:trPr>
          <w:cantSplit w:val="true"/>
        </w:trPr>
        <w:tc>
          <w:tcPr>
            <w:tcW w:type="dxa" w:w="1224"/>
            <w:tcMar>
              <w:top w:w="80" w:type="dxa"/>
              <w:start w:w="105" w:type="dxa"/>
              <w:bottom w:w="80" w:type="dxa"/>
              <w:end w:w="105" w:type="dxa"/>
            </w:tcMar>
            <w:vAlign w:val="center"/>
          </w:tcPr>
          <w:p>
            <w:pPr>
              <w:spacing w:after="0"/>
            </w:pPr>
            <w:r>
              <w:rPr>
                <w:sz w:val="16"/>
              </w:rPr>
              <w:t>IMP-0004</w:t>
            </w:r>
          </w:p>
        </w:tc>
        <w:tc>
          <w:tcPr>
            <w:tcW w:type="dxa" w:w="3744"/>
            <w:tcMar>
              <w:top w:w="80" w:type="dxa"/>
              <w:start w:w="105" w:type="dxa"/>
              <w:bottom w:w="80" w:type="dxa"/>
              <w:end w:w="105" w:type="dxa"/>
            </w:tcMar>
            <w:vAlign w:val="center"/>
          </w:tcPr>
          <w:p>
            <w:pPr>
              <w:spacing w:after="0"/>
            </w:pPr>
            <w:r>
              <w:rPr>
                <w:sz w:val="16"/>
              </w:rPr>
              <w:t>Create requirements/backlog traceability registry</w:t>
            </w:r>
          </w:p>
        </w:tc>
        <w:tc>
          <w:tcPr>
            <w:tcW w:type="dxa" w:w="1224"/>
            <w:tcMar>
              <w:top w:w="80" w:type="dxa"/>
              <w:start w:w="105" w:type="dxa"/>
              <w:bottom w:w="80" w:type="dxa"/>
              <w:end w:w="105" w:type="dxa"/>
            </w:tcMar>
            <w:vAlign w:val="center"/>
          </w:tcPr>
          <w:p>
            <w:pPr>
              <w:spacing w:after="0"/>
            </w:pPr>
            <w:r>
              <w:rPr>
                <w:sz w:val="16"/>
              </w:rPr>
              <w:t>QA/Product</w:t>
            </w:r>
          </w:p>
        </w:tc>
        <w:tc>
          <w:tcPr>
            <w:tcW w:type="dxa" w:w="936"/>
            <w:tcMar>
              <w:top w:w="80" w:type="dxa"/>
              <w:start w:w="105" w:type="dxa"/>
              <w:bottom w:w="80" w:type="dxa"/>
              <w:end w:w="105" w:type="dxa"/>
            </w:tcMar>
            <w:vAlign w:val="center"/>
          </w:tcPr>
          <w:p>
            <w:pPr>
              <w:spacing w:after="0"/>
            </w:pPr>
            <w:r>
              <w:rPr>
                <w:sz w:val="16"/>
              </w:rPr>
              <w:t>3d</w:t>
            </w:r>
          </w:p>
        </w:tc>
        <w:tc>
          <w:tcPr>
            <w:tcW w:type="dxa" w:w="2952"/>
            <w:tcMar>
              <w:top w:w="80" w:type="dxa"/>
              <w:start w:w="105" w:type="dxa"/>
              <w:bottom w:w="80" w:type="dxa"/>
              <w:end w:w="105" w:type="dxa"/>
            </w:tcMar>
            <w:vAlign w:val="center"/>
          </w:tcPr>
          <w:p>
            <w:pPr>
              <w:spacing w:after="0"/>
            </w:pPr>
            <w:r>
              <w:rPr>
                <w:sz w:val="16"/>
              </w:rPr>
              <w:t>Every must-have PRD domain mapped</w:t>
            </w:r>
          </w:p>
        </w:tc>
      </w:tr>
      <w:tr>
        <w:trPr>
          <w:cantSplit w:val="true"/>
        </w:trPr>
        <w:tc>
          <w:tcPr>
            <w:tcW w:type="dxa" w:w="1224"/>
            <w:tcMar>
              <w:top w:w="80" w:type="dxa"/>
              <w:start w:w="105" w:type="dxa"/>
              <w:bottom w:w="80" w:type="dxa"/>
              <w:end w:w="105" w:type="dxa"/>
            </w:tcMar>
            <w:vAlign w:val="center"/>
          </w:tcPr>
          <w:p>
            <w:pPr>
              <w:spacing w:after="0"/>
            </w:pPr>
            <w:r>
              <w:rPr>
                <w:sz w:val="16"/>
              </w:rPr>
              <w:t>IMP-0005</w:t>
            </w:r>
          </w:p>
        </w:tc>
        <w:tc>
          <w:tcPr>
            <w:tcW w:type="dxa" w:w="3744"/>
            <w:tcMar>
              <w:top w:w="80" w:type="dxa"/>
              <w:start w:w="105" w:type="dxa"/>
              <w:bottom w:w="80" w:type="dxa"/>
              <w:end w:w="105" w:type="dxa"/>
            </w:tcMar>
            <w:vAlign w:val="center"/>
          </w:tcPr>
          <w:p>
            <w:pPr>
              <w:spacing w:after="0"/>
            </w:pPr>
            <w:r>
              <w:rPr>
                <w:sz w:val="16"/>
              </w:rPr>
              <w:t>Create program risk, dependency, and decision registers</w:t>
            </w:r>
          </w:p>
        </w:tc>
        <w:tc>
          <w:tcPr>
            <w:tcW w:type="dxa" w:w="1224"/>
            <w:tcMar>
              <w:top w:w="80" w:type="dxa"/>
              <w:start w:w="105" w:type="dxa"/>
              <w:bottom w:w="80" w:type="dxa"/>
              <w:end w:w="105" w:type="dxa"/>
            </w:tcMar>
            <w:vAlign w:val="center"/>
          </w:tcPr>
          <w:p>
            <w:pPr>
              <w:spacing w:after="0"/>
            </w:pPr>
            <w:r>
              <w:rPr>
                <w:sz w:val="16"/>
              </w:rPr>
              <w:t>PM/Product</w:t>
            </w:r>
          </w:p>
        </w:tc>
        <w:tc>
          <w:tcPr>
            <w:tcW w:type="dxa" w:w="936"/>
            <w:tcMar>
              <w:top w:w="80" w:type="dxa"/>
              <w:start w:w="105" w:type="dxa"/>
              <w:bottom w:w="80" w:type="dxa"/>
              <w:end w:w="105" w:type="dxa"/>
            </w:tcMar>
            <w:vAlign w:val="center"/>
          </w:tcPr>
          <w:p>
            <w:pPr>
              <w:spacing w:after="0"/>
            </w:pPr>
            <w:r>
              <w:rPr>
                <w:sz w:val="16"/>
              </w:rPr>
              <w:t>2d</w:t>
            </w:r>
          </w:p>
        </w:tc>
        <w:tc>
          <w:tcPr>
            <w:tcW w:type="dxa" w:w="2952"/>
            <w:tcMar>
              <w:top w:w="80" w:type="dxa"/>
              <w:start w:w="105" w:type="dxa"/>
              <w:bottom w:w="80" w:type="dxa"/>
              <w:end w:w="105" w:type="dxa"/>
            </w:tcMar>
            <w:vAlign w:val="center"/>
          </w:tcPr>
          <w:p>
            <w:pPr>
              <w:spacing w:after="0"/>
            </w:pPr>
            <w:r>
              <w:rPr>
                <w:sz w:val="16"/>
              </w:rPr>
              <w:t>Owners, triggers, review cadence</w:t>
            </w:r>
          </w:p>
        </w:tc>
      </w:tr>
      <w:tr>
        <w:trPr>
          <w:cantSplit w:val="true"/>
        </w:trPr>
        <w:tc>
          <w:tcPr>
            <w:tcW w:type="dxa" w:w="1224"/>
            <w:tcMar>
              <w:top w:w="80" w:type="dxa"/>
              <w:start w:w="105" w:type="dxa"/>
              <w:bottom w:w="80" w:type="dxa"/>
              <w:end w:w="105" w:type="dxa"/>
            </w:tcMar>
            <w:vAlign w:val="center"/>
          </w:tcPr>
          <w:p>
            <w:pPr>
              <w:spacing w:after="0"/>
            </w:pPr>
            <w:r>
              <w:rPr>
                <w:sz w:val="16"/>
              </w:rPr>
              <w:t>IMP-0006</w:t>
            </w:r>
          </w:p>
        </w:tc>
        <w:tc>
          <w:tcPr>
            <w:tcW w:type="dxa" w:w="3744"/>
            <w:tcMar>
              <w:top w:w="80" w:type="dxa"/>
              <w:start w:w="105" w:type="dxa"/>
              <w:bottom w:w="80" w:type="dxa"/>
              <w:end w:w="105" w:type="dxa"/>
            </w:tcMar>
            <w:vAlign w:val="center"/>
          </w:tcPr>
          <w:p>
            <w:pPr>
              <w:spacing w:after="0"/>
            </w:pPr>
            <w:r>
              <w:rPr>
                <w:sz w:val="16"/>
              </w:rPr>
              <w:t>Finalize team capacity and sprint calendar</w:t>
            </w:r>
          </w:p>
        </w:tc>
        <w:tc>
          <w:tcPr>
            <w:tcW w:type="dxa" w:w="1224"/>
            <w:tcMar>
              <w:top w:w="80" w:type="dxa"/>
              <w:start w:w="105" w:type="dxa"/>
              <w:bottom w:w="80" w:type="dxa"/>
              <w:end w:w="105" w:type="dxa"/>
            </w:tcMar>
            <w:vAlign w:val="center"/>
          </w:tcPr>
          <w:p>
            <w:pPr>
              <w:spacing w:after="0"/>
            </w:pPr>
            <w:r>
              <w:rPr>
                <w:sz w:val="16"/>
              </w:rPr>
              <w:t>Engineering</w:t>
            </w:r>
          </w:p>
        </w:tc>
        <w:tc>
          <w:tcPr>
            <w:tcW w:type="dxa" w:w="936"/>
            <w:tcMar>
              <w:top w:w="80" w:type="dxa"/>
              <w:start w:w="105" w:type="dxa"/>
              <w:bottom w:w="80" w:type="dxa"/>
              <w:end w:w="105" w:type="dxa"/>
            </w:tcMar>
            <w:vAlign w:val="center"/>
          </w:tcPr>
          <w:p>
            <w:pPr>
              <w:spacing w:after="0"/>
            </w:pPr>
            <w:r>
              <w:rPr>
                <w:sz w:val="16"/>
              </w:rPr>
              <w:t>1d</w:t>
            </w:r>
          </w:p>
        </w:tc>
        <w:tc>
          <w:tcPr>
            <w:tcW w:type="dxa" w:w="2952"/>
            <w:tcMar>
              <w:top w:w="80" w:type="dxa"/>
              <w:start w:w="105" w:type="dxa"/>
              <w:bottom w:w="80" w:type="dxa"/>
              <w:end w:w="105" w:type="dxa"/>
            </w:tcMar>
            <w:vAlign w:val="center"/>
          </w:tcPr>
          <w:p>
            <w:pPr>
              <w:spacing w:after="0"/>
            </w:pPr>
            <w:r>
              <w:rPr>
                <w:sz w:val="16"/>
              </w:rPr>
              <w:t>Capacity baseline and on-call/leave assumptions</w:t>
            </w:r>
          </w:p>
        </w:tc>
      </w:tr>
    </w:tbl>
    <w:p>
      <w:pPr>
        <w:spacing w:after="20"/>
      </w:pPr>
    </w:p>
    <w:p>
      <w:pPr>
        <w:pStyle w:val="Heading1"/>
        <w:keepNext/>
      </w:pPr>
      <w:r>
        <w:t>10. M1 — Engineering Foundation</w:t>
      </w:r>
    </w:p>
    <w:tbl>
      <w:tblPr>
        <w:tblStyle w:val="TableGrid"/>
        <w:tblW w:type="auto" w:w="0"/>
        <w:tblLayout w:type="fixed"/>
        <w:tblLook w:firstColumn="1" w:firstRow="1" w:lastColumn="0" w:lastRow="0" w:noHBand="0" w:noVBand="1" w:val="04A0"/>
      </w:tblPr>
      <w:tblGrid>
        <w:gridCol w:w="1953"/>
        <w:gridCol w:w="1953"/>
        <w:gridCol w:w="1953"/>
        <w:gridCol w:w="1953"/>
        <w:gridCol w:w="1953"/>
      </w:tblGrid>
      <w:tr>
        <w:trPr>
          <w:tblHeader w:val="true"/>
        </w:trPr>
        <w:tc>
          <w:tcPr>
            <w:tcW w:type="dxa" w:w="1224"/>
            <w:shd w:fill="17365D"/>
            <w:tcMar>
              <w:top w:w="80" w:type="dxa"/>
              <w:start w:w="105" w:type="dxa"/>
              <w:bottom w:w="80" w:type="dxa"/>
              <w:end w:w="105" w:type="dxa"/>
            </w:tcMar>
          </w:tcPr>
          <w:p>
            <w:r>
              <w:rPr>
                <w:b/>
                <w:color w:val="FFFFFF"/>
                <w:sz w:val="16"/>
              </w:rPr>
              <w:t>Backlog ID</w:t>
            </w:r>
          </w:p>
        </w:tc>
        <w:tc>
          <w:tcPr>
            <w:tcW w:type="dxa" w:w="3960"/>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1080"/>
            <w:shd w:fill="17365D"/>
            <w:tcMar>
              <w:top w:w="80" w:type="dxa"/>
              <w:start w:w="105" w:type="dxa"/>
              <w:bottom w:w="80" w:type="dxa"/>
              <w:end w:w="105" w:type="dxa"/>
            </w:tcMar>
          </w:tcPr>
          <w:p>
            <w:r>
              <w:rPr>
                <w:b/>
                <w:color w:val="FFFFFF"/>
                <w:sz w:val="16"/>
              </w:rPr>
              <w:t>Depends</w:t>
            </w:r>
          </w:p>
        </w:tc>
        <w:tc>
          <w:tcPr>
            <w:tcW w:type="dxa" w:w="2160"/>
            <w:shd w:fill="17365D"/>
            <w:tcMar>
              <w:top w:w="80" w:type="dxa"/>
              <w:start w:w="105" w:type="dxa"/>
              <w:bottom w:w="80" w:type="dxa"/>
              <w:end w:w="105" w:type="dxa"/>
            </w:tcMar>
          </w:tcPr>
          <w:p>
            <w:r>
              <w:rPr>
                <w:b/>
                <w:color w:val="FFFFFF"/>
                <w:sz w:val="16"/>
              </w:rPr>
              <w:t>Done evidence</w:t>
            </w:r>
          </w:p>
        </w:tc>
      </w:tr>
      <w:tr>
        <w:trPr>
          <w:cantSplit w:val="true"/>
        </w:trPr>
        <w:tc>
          <w:tcPr>
            <w:tcW w:type="dxa" w:w="1224"/>
            <w:tcMar>
              <w:top w:w="80" w:type="dxa"/>
              <w:start w:w="105" w:type="dxa"/>
              <w:bottom w:w="80" w:type="dxa"/>
              <w:end w:w="105" w:type="dxa"/>
            </w:tcMar>
            <w:vAlign w:val="center"/>
          </w:tcPr>
          <w:p>
            <w:pPr>
              <w:spacing w:after="0"/>
            </w:pPr>
            <w:r>
              <w:rPr>
                <w:sz w:val="16"/>
              </w:rPr>
              <w:t>IMP-0101</w:t>
            </w:r>
          </w:p>
        </w:tc>
        <w:tc>
          <w:tcPr>
            <w:tcW w:type="dxa" w:w="3960"/>
            <w:tcMar>
              <w:top w:w="80" w:type="dxa"/>
              <w:start w:w="105" w:type="dxa"/>
              <w:bottom w:w="80" w:type="dxa"/>
              <w:end w:w="105" w:type="dxa"/>
            </w:tcMar>
            <w:vAlign w:val="center"/>
          </w:tcPr>
          <w:p>
            <w:pPr>
              <w:spacing w:after="0"/>
            </w:pPr>
            <w:r>
              <w:rPr>
                <w:sz w:val="16"/>
              </w:rPr>
              <w:t>Create monorepo/solution modules and ownership rules</w:t>
            </w:r>
          </w:p>
        </w:tc>
        <w:tc>
          <w:tcPr>
            <w:tcW w:type="dxa" w:w="936"/>
            <w:tcMar>
              <w:top w:w="80" w:type="dxa"/>
              <w:start w:w="105" w:type="dxa"/>
              <w:bottom w:w="80" w:type="dxa"/>
              <w:end w:w="105" w:type="dxa"/>
            </w:tcMar>
            <w:vAlign w:val="center"/>
          </w:tcPr>
          <w:p>
            <w:pPr>
              <w:spacing w:after="0"/>
            </w:pPr>
            <w:r>
              <w:rPr>
                <w:sz w:val="16"/>
              </w:rPr>
              <w:t>4d</w:t>
            </w:r>
          </w:p>
        </w:tc>
        <w:tc>
          <w:tcPr>
            <w:tcW w:type="dxa" w:w="1080"/>
            <w:tcMar>
              <w:top w:w="80" w:type="dxa"/>
              <w:start w:w="105" w:type="dxa"/>
              <w:bottom w:w="80" w:type="dxa"/>
              <w:end w:w="105" w:type="dxa"/>
            </w:tcMar>
            <w:vAlign w:val="center"/>
          </w:tcPr>
          <w:p>
            <w:pPr>
              <w:spacing w:after="0"/>
            </w:pPr>
            <w:r>
              <w:rPr>
                <w:sz w:val="16"/>
              </w:rPr>
              <w:t>M0</w:t>
            </w:r>
          </w:p>
        </w:tc>
        <w:tc>
          <w:tcPr>
            <w:tcW w:type="dxa" w:w="2160"/>
            <w:tcMar>
              <w:top w:w="80" w:type="dxa"/>
              <w:start w:w="105" w:type="dxa"/>
              <w:bottom w:w="80" w:type="dxa"/>
              <w:end w:w="105" w:type="dxa"/>
            </w:tcMar>
            <w:vAlign w:val="center"/>
          </w:tcPr>
          <w:p>
            <w:pPr>
              <w:spacing w:after="0"/>
            </w:pPr>
            <w:r>
              <w:rPr>
                <w:sz w:val="16"/>
              </w:rPr>
              <w:t>Build succeeds; architecture tests</w:t>
            </w:r>
          </w:p>
        </w:tc>
      </w:tr>
      <w:tr>
        <w:trPr>
          <w:cantSplit w:val="true"/>
        </w:trPr>
        <w:tc>
          <w:tcPr>
            <w:tcW w:type="dxa" w:w="1224"/>
            <w:tcMar>
              <w:top w:w="80" w:type="dxa"/>
              <w:start w:w="105" w:type="dxa"/>
              <w:bottom w:w="80" w:type="dxa"/>
              <w:end w:w="105" w:type="dxa"/>
            </w:tcMar>
            <w:vAlign w:val="center"/>
          </w:tcPr>
          <w:p>
            <w:pPr>
              <w:spacing w:after="0"/>
            </w:pPr>
            <w:r>
              <w:rPr>
                <w:sz w:val="16"/>
              </w:rPr>
              <w:t>IMP-0102</w:t>
            </w:r>
          </w:p>
        </w:tc>
        <w:tc>
          <w:tcPr>
            <w:tcW w:type="dxa" w:w="3960"/>
            <w:tcMar>
              <w:top w:w="80" w:type="dxa"/>
              <w:start w:w="105" w:type="dxa"/>
              <w:bottom w:w="80" w:type="dxa"/>
              <w:end w:w="105" w:type="dxa"/>
            </w:tcMar>
            <w:vAlign w:val="center"/>
          </w:tcPr>
          <w:p>
            <w:pPr>
              <w:spacing w:after="0"/>
            </w:pPr>
            <w:r>
              <w:rPr>
                <w:sz w:val="16"/>
              </w:rPr>
              <w:t>Local PostgreSQL, broker, API, worker, web stack</w:t>
            </w:r>
          </w:p>
        </w:tc>
        <w:tc>
          <w:tcPr>
            <w:tcW w:type="dxa" w:w="936"/>
            <w:tcMar>
              <w:top w:w="80" w:type="dxa"/>
              <w:start w:w="105" w:type="dxa"/>
              <w:bottom w:w="80" w:type="dxa"/>
              <w:end w:w="105" w:type="dxa"/>
            </w:tcMar>
            <w:vAlign w:val="center"/>
          </w:tcPr>
          <w:p>
            <w:pPr>
              <w:spacing w:after="0"/>
            </w:pPr>
            <w:r>
              <w:rPr>
                <w:sz w:val="16"/>
              </w:rPr>
              <w:t>5d</w:t>
            </w:r>
          </w:p>
        </w:tc>
        <w:tc>
          <w:tcPr>
            <w:tcW w:type="dxa" w:w="1080"/>
            <w:tcMar>
              <w:top w:w="80" w:type="dxa"/>
              <w:start w:w="105" w:type="dxa"/>
              <w:bottom w:w="80" w:type="dxa"/>
              <w:end w:w="105" w:type="dxa"/>
            </w:tcMar>
            <w:vAlign w:val="center"/>
          </w:tcPr>
          <w:p>
            <w:pPr>
              <w:spacing w:after="0"/>
            </w:pPr>
            <w:r>
              <w:rPr>
                <w:sz w:val="16"/>
              </w:rPr>
              <w:t>0101</w:t>
            </w:r>
          </w:p>
        </w:tc>
        <w:tc>
          <w:tcPr>
            <w:tcW w:type="dxa" w:w="2160"/>
            <w:tcMar>
              <w:top w:w="80" w:type="dxa"/>
              <w:start w:w="105" w:type="dxa"/>
              <w:bottom w:w="80" w:type="dxa"/>
              <w:end w:w="105" w:type="dxa"/>
            </w:tcMar>
            <w:vAlign w:val="center"/>
          </w:tcPr>
          <w:p>
            <w:pPr>
              <w:spacing w:after="0"/>
            </w:pPr>
            <w:r>
              <w:rPr>
                <w:sz w:val="16"/>
              </w:rPr>
              <w:t>One-command startup and health</w:t>
            </w:r>
          </w:p>
        </w:tc>
      </w:tr>
      <w:tr>
        <w:trPr>
          <w:cantSplit w:val="true"/>
        </w:trPr>
        <w:tc>
          <w:tcPr>
            <w:tcW w:type="dxa" w:w="1224"/>
            <w:tcMar>
              <w:top w:w="80" w:type="dxa"/>
              <w:start w:w="105" w:type="dxa"/>
              <w:bottom w:w="80" w:type="dxa"/>
              <w:end w:w="105" w:type="dxa"/>
            </w:tcMar>
            <w:vAlign w:val="center"/>
          </w:tcPr>
          <w:p>
            <w:pPr>
              <w:spacing w:after="0"/>
            </w:pPr>
            <w:r>
              <w:rPr>
                <w:sz w:val="16"/>
              </w:rPr>
              <w:t>IMP-0103</w:t>
            </w:r>
          </w:p>
        </w:tc>
        <w:tc>
          <w:tcPr>
            <w:tcW w:type="dxa" w:w="3960"/>
            <w:tcMar>
              <w:top w:w="80" w:type="dxa"/>
              <w:start w:w="105" w:type="dxa"/>
              <w:bottom w:w="80" w:type="dxa"/>
              <w:end w:w="105" w:type="dxa"/>
            </w:tcMar>
            <w:vAlign w:val="center"/>
          </w:tcPr>
          <w:p>
            <w:pPr>
              <w:spacing w:after="0"/>
            </w:pPr>
            <w:r>
              <w:rPr>
                <w:sz w:val="16"/>
              </w:rPr>
              <w:t>CI build/test/lint and artifact packaging</w:t>
            </w:r>
          </w:p>
        </w:tc>
        <w:tc>
          <w:tcPr>
            <w:tcW w:type="dxa" w:w="936"/>
            <w:tcMar>
              <w:top w:w="80" w:type="dxa"/>
              <w:start w:w="105" w:type="dxa"/>
              <w:bottom w:w="80" w:type="dxa"/>
              <w:end w:w="105" w:type="dxa"/>
            </w:tcMar>
            <w:vAlign w:val="center"/>
          </w:tcPr>
          <w:p>
            <w:pPr>
              <w:spacing w:after="0"/>
            </w:pPr>
            <w:r>
              <w:rPr>
                <w:sz w:val="16"/>
              </w:rPr>
              <w:t>5d</w:t>
            </w:r>
          </w:p>
        </w:tc>
        <w:tc>
          <w:tcPr>
            <w:tcW w:type="dxa" w:w="1080"/>
            <w:tcMar>
              <w:top w:w="80" w:type="dxa"/>
              <w:start w:w="105" w:type="dxa"/>
              <w:bottom w:w="80" w:type="dxa"/>
              <w:end w:w="105" w:type="dxa"/>
            </w:tcMar>
            <w:vAlign w:val="center"/>
          </w:tcPr>
          <w:p>
            <w:pPr>
              <w:spacing w:after="0"/>
            </w:pPr>
            <w:r>
              <w:rPr>
                <w:sz w:val="16"/>
              </w:rPr>
              <w:t>0101</w:t>
            </w:r>
          </w:p>
        </w:tc>
        <w:tc>
          <w:tcPr>
            <w:tcW w:type="dxa" w:w="2160"/>
            <w:tcMar>
              <w:top w:w="80" w:type="dxa"/>
              <w:start w:w="105" w:type="dxa"/>
              <w:bottom w:w="80" w:type="dxa"/>
              <w:end w:w="105" w:type="dxa"/>
            </w:tcMar>
            <w:vAlign w:val="center"/>
          </w:tcPr>
          <w:p>
            <w:pPr>
              <w:spacing w:after="0"/>
            </w:pPr>
            <w:r>
              <w:rPr>
                <w:sz w:val="16"/>
              </w:rPr>
              <w:t>Protected PR checks</w:t>
            </w:r>
          </w:p>
        </w:tc>
      </w:tr>
      <w:tr>
        <w:trPr>
          <w:cantSplit w:val="true"/>
        </w:trPr>
        <w:tc>
          <w:tcPr>
            <w:tcW w:type="dxa" w:w="1224"/>
            <w:tcMar>
              <w:top w:w="80" w:type="dxa"/>
              <w:start w:w="105" w:type="dxa"/>
              <w:bottom w:w="80" w:type="dxa"/>
              <w:end w:w="105" w:type="dxa"/>
            </w:tcMar>
            <w:vAlign w:val="center"/>
          </w:tcPr>
          <w:p>
            <w:pPr>
              <w:spacing w:after="0"/>
            </w:pPr>
            <w:r>
              <w:rPr>
                <w:sz w:val="16"/>
              </w:rPr>
              <w:t>IMP-0104</w:t>
            </w:r>
          </w:p>
        </w:tc>
        <w:tc>
          <w:tcPr>
            <w:tcW w:type="dxa" w:w="3960"/>
            <w:tcMar>
              <w:top w:w="80" w:type="dxa"/>
              <w:start w:w="105" w:type="dxa"/>
              <w:bottom w:w="80" w:type="dxa"/>
              <w:end w:w="105" w:type="dxa"/>
            </w:tcMar>
            <w:vAlign w:val="center"/>
          </w:tcPr>
          <w:p>
            <w:pPr>
              <w:spacing w:after="0"/>
            </w:pPr>
            <w:r>
              <w:rPr>
                <w:sz w:val="16"/>
              </w:rPr>
              <w:t>OpenAPI/message/migration compatibility pipeline</w:t>
            </w:r>
          </w:p>
        </w:tc>
        <w:tc>
          <w:tcPr>
            <w:tcW w:type="dxa" w:w="936"/>
            <w:tcMar>
              <w:top w:w="80" w:type="dxa"/>
              <w:start w:w="105" w:type="dxa"/>
              <w:bottom w:w="80" w:type="dxa"/>
              <w:end w:w="105" w:type="dxa"/>
            </w:tcMar>
            <w:vAlign w:val="center"/>
          </w:tcPr>
          <w:p>
            <w:pPr>
              <w:spacing w:after="0"/>
            </w:pPr>
            <w:r>
              <w:rPr>
                <w:sz w:val="16"/>
              </w:rPr>
              <w:t>5d</w:t>
            </w:r>
          </w:p>
        </w:tc>
        <w:tc>
          <w:tcPr>
            <w:tcW w:type="dxa" w:w="1080"/>
            <w:tcMar>
              <w:top w:w="80" w:type="dxa"/>
              <w:start w:w="105" w:type="dxa"/>
              <w:bottom w:w="80" w:type="dxa"/>
              <w:end w:w="105" w:type="dxa"/>
            </w:tcMar>
            <w:vAlign w:val="center"/>
          </w:tcPr>
          <w:p>
            <w:pPr>
              <w:spacing w:after="0"/>
            </w:pPr>
            <w:r>
              <w:rPr>
                <w:sz w:val="16"/>
              </w:rPr>
              <w:t>0101</w:t>
            </w:r>
          </w:p>
        </w:tc>
        <w:tc>
          <w:tcPr>
            <w:tcW w:type="dxa" w:w="2160"/>
            <w:tcMar>
              <w:top w:w="80" w:type="dxa"/>
              <w:start w:w="105" w:type="dxa"/>
              <w:bottom w:w="80" w:type="dxa"/>
              <w:end w:w="105" w:type="dxa"/>
            </w:tcMar>
            <w:vAlign w:val="center"/>
          </w:tcPr>
          <w:p>
            <w:pPr>
              <w:spacing w:after="0"/>
            </w:pPr>
            <w:r>
              <w:rPr>
                <w:sz w:val="16"/>
              </w:rPr>
              <w:t>Breaking-change detection</w:t>
            </w:r>
          </w:p>
        </w:tc>
      </w:tr>
      <w:tr>
        <w:trPr>
          <w:cantSplit w:val="true"/>
        </w:trPr>
        <w:tc>
          <w:tcPr>
            <w:tcW w:type="dxa" w:w="1224"/>
            <w:tcMar>
              <w:top w:w="80" w:type="dxa"/>
              <w:start w:w="105" w:type="dxa"/>
              <w:bottom w:w="80" w:type="dxa"/>
              <w:end w:w="105" w:type="dxa"/>
            </w:tcMar>
            <w:vAlign w:val="center"/>
          </w:tcPr>
          <w:p>
            <w:pPr>
              <w:spacing w:after="0"/>
            </w:pPr>
            <w:r>
              <w:rPr>
                <w:sz w:val="16"/>
              </w:rPr>
              <w:t>IMP-0105</w:t>
            </w:r>
          </w:p>
        </w:tc>
        <w:tc>
          <w:tcPr>
            <w:tcW w:type="dxa" w:w="3960"/>
            <w:tcMar>
              <w:top w:w="80" w:type="dxa"/>
              <w:start w:w="105" w:type="dxa"/>
              <w:bottom w:w="80" w:type="dxa"/>
              <w:end w:w="105" w:type="dxa"/>
            </w:tcMar>
            <w:vAlign w:val="center"/>
          </w:tcPr>
          <w:p>
            <w:pPr>
              <w:spacing w:after="0"/>
            </w:pPr>
            <w:r>
              <w:rPr>
                <w:sz w:val="16"/>
              </w:rPr>
              <w:t>Structured logging, correlation, OpenTelemetry baseline</w:t>
            </w:r>
          </w:p>
        </w:tc>
        <w:tc>
          <w:tcPr>
            <w:tcW w:type="dxa" w:w="936"/>
            <w:tcMar>
              <w:top w:w="80" w:type="dxa"/>
              <w:start w:w="105" w:type="dxa"/>
              <w:bottom w:w="80" w:type="dxa"/>
              <w:end w:w="105" w:type="dxa"/>
            </w:tcMar>
            <w:vAlign w:val="center"/>
          </w:tcPr>
          <w:p>
            <w:pPr>
              <w:spacing w:after="0"/>
            </w:pPr>
            <w:r>
              <w:rPr>
                <w:sz w:val="16"/>
              </w:rPr>
              <w:t>5d</w:t>
            </w:r>
          </w:p>
        </w:tc>
        <w:tc>
          <w:tcPr>
            <w:tcW w:type="dxa" w:w="1080"/>
            <w:tcMar>
              <w:top w:w="80" w:type="dxa"/>
              <w:start w:w="105" w:type="dxa"/>
              <w:bottom w:w="80" w:type="dxa"/>
              <w:end w:w="105" w:type="dxa"/>
            </w:tcMar>
            <w:vAlign w:val="center"/>
          </w:tcPr>
          <w:p>
            <w:pPr>
              <w:spacing w:after="0"/>
            </w:pPr>
            <w:r>
              <w:rPr>
                <w:sz w:val="16"/>
              </w:rPr>
              <w:t>0102</w:t>
            </w:r>
          </w:p>
        </w:tc>
        <w:tc>
          <w:tcPr>
            <w:tcW w:type="dxa" w:w="2160"/>
            <w:tcMar>
              <w:top w:w="80" w:type="dxa"/>
              <w:start w:w="105" w:type="dxa"/>
              <w:bottom w:w="80" w:type="dxa"/>
              <w:end w:w="105" w:type="dxa"/>
            </w:tcMar>
            <w:vAlign w:val="center"/>
          </w:tcPr>
          <w:p>
            <w:pPr>
              <w:spacing w:after="0"/>
            </w:pPr>
            <w:r>
              <w:rPr>
                <w:sz w:val="16"/>
              </w:rPr>
              <w:t>Trace from API to worker mock</w:t>
            </w:r>
          </w:p>
        </w:tc>
      </w:tr>
      <w:tr>
        <w:trPr>
          <w:cantSplit w:val="true"/>
        </w:trPr>
        <w:tc>
          <w:tcPr>
            <w:tcW w:type="dxa" w:w="1224"/>
            <w:tcMar>
              <w:top w:w="80" w:type="dxa"/>
              <w:start w:w="105" w:type="dxa"/>
              <w:bottom w:w="80" w:type="dxa"/>
              <w:end w:w="105" w:type="dxa"/>
            </w:tcMar>
            <w:vAlign w:val="center"/>
          </w:tcPr>
          <w:p>
            <w:pPr>
              <w:spacing w:after="0"/>
            </w:pPr>
            <w:r>
              <w:rPr>
                <w:sz w:val="16"/>
              </w:rPr>
              <w:t>IMP-0106</w:t>
            </w:r>
          </w:p>
        </w:tc>
        <w:tc>
          <w:tcPr>
            <w:tcW w:type="dxa" w:w="3960"/>
            <w:tcMar>
              <w:top w:w="80" w:type="dxa"/>
              <w:start w:w="105" w:type="dxa"/>
              <w:bottom w:w="80" w:type="dxa"/>
              <w:end w:w="105" w:type="dxa"/>
            </w:tcMar>
            <w:vAlign w:val="center"/>
          </w:tcPr>
          <w:p>
            <w:pPr>
              <w:spacing w:after="0"/>
            </w:pPr>
            <w:r>
              <w:rPr>
                <w:sz w:val="16"/>
              </w:rPr>
              <w:t>Security scanning, SBOM, secret detection</w:t>
            </w:r>
          </w:p>
        </w:tc>
        <w:tc>
          <w:tcPr>
            <w:tcW w:type="dxa" w:w="936"/>
            <w:tcMar>
              <w:top w:w="80" w:type="dxa"/>
              <w:start w:w="105" w:type="dxa"/>
              <w:bottom w:w="80" w:type="dxa"/>
              <w:end w:w="105" w:type="dxa"/>
            </w:tcMar>
            <w:vAlign w:val="center"/>
          </w:tcPr>
          <w:p>
            <w:pPr>
              <w:spacing w:after="0"/>
            </w:pPr>
            <w:r>
              <w:rPr>
                <w:sz w:val="16"/>
              </w:rPr>
              <w:t>4d</w:t>
            </w:r>
          </w:p>
        </w:tc>
        <w:tc>
          <w:tcPr>
            <w:tcW w:type="dxa" w:w="1080"/>
            <w:tcMar>
              <w:top w:w="80" w:type="dxa"/>
              <w:start w:w="105" w:type="dxa"/>
              <w:bottom w:w="80" w:type="dxa"/>
              <w:end w:w="105" w:type="dxa"/>
            </w:tcMar>
            <w:vAlign w:val="center"/>
          </w:tcPr>
          <w:p>
            <w:pPr>
              <w:spacing w:after="0"/>
            </w:pPr>
            <w:r>
              <w:rPr>
                <w:sz w:val="16"/>
              </w:rPr>
              <w:t>0103</w:t>
            </w:r>
          </w:p>
        </w:tc>
        <w:tc>
          <w:tcPr>
            <w:tcW w:type="dxa" w:w="2160"/>
            <w:tcMar>
              <w:top w:w="80" w:type="dxa"/>
              <w:start w:w="105" w:type="dxa"/>
              <w:bottom w:w="80" w:type="dxa"/>
              <w:end w:w="105" w:type="dxa"/>
            </w:tcMar>
            <w:vAlign w:val="center"/>
          </w:tcPr>
          <w:p>
            <w:pPr>
              <w:spacing w:after="0"/>
            </w:pPr>
            <w:r>
              <w:rPr>
                <w:sz w:val="16"/>
              </w:rPr>
              <w:t>Policy gates and reports</w:t>
            </w:r>
          </w:p>
        </w:tc>
      </w:tr>
      <w:tr>
        <w:trPr>
          <w:cantSplit w:val="true"/>
        </w:trPr>
        <w:tc>
          <w:tcPr>
            <w:tcW w:type="dxa" w:w="1224"/>
            <w:tcMar>
              <w:top w:w="80" w:type="dxa"/>
              <w:start w:w="105" w:type="dxa"/>
              <w:bottom w:w="80" w:type="dxa"/>
              <w:end w:w="105" w:type="dxa"/>
            </w:tcMar>
            <w:vAlign w:val="center"/>
          </w:tcPr>
          <w:p>
            <w:pPr>
              <w:spacing w:after="0"/>
            </w:pPr>
            <w:r>
              <w:rPr>
                <w:sz w:val="16"/>
              </w:rPr>
              <w:t>IMP-0107</w:t>
            </w:r>
          </w:p>
        </w:tc>
        <w:tc>
          <w:tcPr>
            <w:tcW w:type="dxa" w:w="3960"/>
            <w:tcMar>
              <w:top w:w="80" w:type="dxa"/>
              <w:start w:w="105" w:type="dxa"/>
              <w:bottom w:w="80" w:type="dxa"/>
              <w:end w:w="105" w:type="dxa"/>
            </w:tcMar>
            <w:vAlign w:val="center"/>
          </w:tcPr>
          <w:p>
            <w:pPr>
              <w:spacing w:after="0"/>
            </w:pPr>
            <w:r>
              <w:rPr>
                <w:sz w:val="16"/>
              </w:rPr>
              <w:t>Test fixtures and mock provider adapter</w:t>
            </w:r>
          </w:p>
        </w:tc>
        <w:tc>
          <w:tcPr>
            <w:tcW w:type="dxa" w:w="936"/>
            <w:tcMar>
              <w:top w:w="80" w:type="dxa"/>
              <w:start w:w="105" w:type="dxa"/>
              <w:bottom w:w="80" w:type="dxa"/>
              <w:end w:w="105" w:type="dxa"/>
            </w:tcMar>
            <w:vAlign w:val="center"/>
          </w:tcPr>
          <w:p>
            <w:pPr>
              <w:spacing w:after="0"/>
            </w:pPr>
            <w:r>
              <w:rPr>
                <w:sz w:val="16"/>
              </w:rPr>
              <w:t>5d</w:t>
            </w:r>
          </w:p>
        </w:tc>
        <w:tc>
          <w:tcPr>
            <w:tcW w:type="dxa" w:w="1080"/>
            <w:tcMar>
              <w:top w:w="80" w:type="dxa"/>
              <w:start w:w="105" w:type="dxa"/>
              <w:bottom w:w="80" w:type="dxa"/>
              <w:end w:w="105" w:type="dxa"/>
            </w:tcMar>
            <w:vAlign w:val="center"/>
          </w:tcPr>
          <w:p>
            <w:pPr>
              <w:spacing w:after="0"/>
            </w:pPr>
            <w:r>
              <w:rPr>
                <w:sz w:val="16"/>
              </w:rPr>
              <w:t>0102</w:t>
            </w:r>
          </w:p>
        </w:tc>
        <w:tc>
          <w:tcPr>
            <w:tcW w:type="dxa" w:w="2160"/>
            <w:tcMar>
              <w:top w:w="80" w:type="dxa"/>
              <w:start w:w="105" w:type="dxa"/>
              <w:bottom w:w="80" w:type="dxa"/>
              <w:end w:w="105" w:type="dxa"/>
            </w:tcMar>
            <w:vAlign w:val="center"/>
          </w:tcPr>
          <w:p>
            <w:pPr>
              <w:spacing w:after="0"/>
            </w:pPr>
            <w:r>
              <w:rPr>
                <w:sz w:val="16"/>
              </w:rPr>
              <w:t>Deterministic discovery/action tests</w:t>
            </w:r>
          </w:p>
        </w:tc>
      </w:tr>
      <w:tr>
        <w:trPr>
          <w:cantSplit w:val="true"/>
        </w:trPr>
        <w:tc>
          <w:tcPr>
            <w:tcW w:type="dxa" w:w="1224"/>
            <w:tcMar>
              <w:top w:w="80" w:type="dxa"/>
              <w:start w:w="105" w:type="dxa"/>
              <w:bottom w:w="80" w:type="dxa"/>
              <w:end w:w="105" w:type="dxa"/>
            </w:tcMar>
            <w:vAlign w:val="center"/>
          </w:tcPr>
          <w:p>
            <w:pPr>
              <w:spacing w:after="0"/>
            </w:pPr>
            <w:r>
              <w:rPr>
                <w:sz w:val="16"/>
              </w:rPr>
              <w:t>IMP-0108</w:t>
            </w:r>
          </w:p>
        </w:tc>
        <w:tc>
          <w:tcPr>
            <w:tcW w:type="dxa" w:w="3960"/>
            <w:tcMar>
              <w:top w:w="80" w:type="dxa"/>
              <w:start w:w="105" w:type="dxa"/>
              <w:bottom w:w="80" w:type="dxa"/>
              <w:end w:w="105" w:type="dxa"/>
            </w:tcMar>
            <w:vAlign w:val="center"/>
          </w:tcPr>
          <w:p>
            <w:pPr>
              <w:spacing w:after="0"/>
            </w:pPr>
            <w:r>
              <w:rPr>
                <w:sz w:val="16"/>
              </w:rPr>
              <w:t>Developer guide and contribution standards</w:t>
            </w:r>
          </w:p>
        </w:tc>
        <w:tc>
          <w:tcPr>
            <w:tcW w:type="dxa" w:w="936"/>
            <w:tcMar>
              <w:top w:w="80" w:type="dxa"/>
              <w:start w:w="105" w:type="dxa"/>
              <w:bottom w:w="80" w:type="dxa"/>
              <w:end w:w="105" w:type="dxa"/>
            </w:tcMar>
            <w:vAlign w:val="center"/>
          </w:tcPr>
          <w:p>
            <w:pPr>
              <w:spacing w:after="0"/>
            </w:pPr>
            <w:r>
              <w:rPr>
                <w:sz w:val="16"/>
              </w:rPr>
              <w:t>3d</w:t>
            </w:r>
          </w:p>
        </w:tc>
        <w:tc>
          <w:tcPr>
            <w:tcW w:type="dxa" w:w="1080"/>
            <w:tcMar>
              <w:top w:w="80" w:type="dxa"/>
              <w:start w:w="105" w:type="dxa"/>
              <w:bottom w:w="80" w:type="dxa"/>
              <w:end w:w="105" w:type="dxa"/>
            </w:tcMar>
            <w:vAlign w:val="center"/>
          </w:tcPr>
          <w:p>
            <w:pPr>
              <w:spacing w:after="0"/>
            </w:pPr>
            <w:r>
              <w:rPr>
                <w:sz w:val="16"/>
              </w:rPr>
              <w:t>0101–07</w:t>
            </w:r>
          </w:p>
        </w:tc>
        <w:tc>
          <w:tcPr>
            <w:tcW w:type="dxa" w:w="2160"/>
            <w:tcMar>
              <w:top w:w="80" w:type="dxa"/>
              <w:start w:w="105" w:type="dxa"/>
              <w:bottom w:w="80" w:type="dxa"/>
              <w:end w:w="105" w:type="dxa"/>
            </w:tcMar>
            <w:vAlign w:val="center"/>
          </w:tcPr>
          <w:p>
            <w:pPr>
              <w:spacing w:after="0"/>
            </w:pPr>
            <w:r>
              <w:rPr>
                <w:sz w:val="16"/>
              </w:rPr>
              <w:t>Clean-machine validation</w:t>
            </w:r>
          </w:p>
        </w:tc>
      </w:tr>
    </w:tbl>
    <w:p>
      <w:pPr>
        <w:spacing w:after="20"/>
      </w:pPr>
    </w:p>
    <w:p>
      <w:pPr>
        <w:pStyle w:val="Heading1"/>
        <w:keepNext/>
      </w:pPr>
      <w:r>
        <w:t>11. M2 — Identity, RBAC, Database, and API Foundation</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296"/>
            <w:shd w:fill="17365D"/>
            <w:tcMar>
              <w:top w:w="80" w:type="dxa"/>
              <w:start w:w="105" w:type="dxa"/>
              <w:bottom w:w="80" w:type="dxa"/>
              <w:end w:w="105" w:type="dxa"/>
            </w:tcMar>
          </w:tcPr>
          <w:p>
            <w:r>
              <w:rPr>
                <w:b/>
                <w:color w:val="FFFFFF"/>
                <w:sz w:val="16"/>
              </w:rPr>
              <w:t>Backlog ID</w:t>
            </w:r>
          </w:p>
        </w:tc>
        <w:tc>
          <w:tcPr>
            <w:tcW w:type="dxa" w:w="4320"/>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2808"/>
            <w:shd w:fill="17365D"/>
            <w:tcMar>
              <w:top w:w="80" w:type="dxa"/>
              <w:start w:w="105" w:type="dxa"/>
              <w:bottom w:w="80" w:type="dxa"/>
              <w:end w:w="105" w:type="dxa"/>
            </w:tcMar>
          </w:tcPr>
          <w:p>
            <w:r>
              <w:rPr>
                <w:b/>
                <w:color w:val="FFFFFF"/>
                <w:sz w:val="16"/>
              </w:rPr>
              <w:t>Trace</w:t>
            </w:r>
          </w:p>
        </w:tc>
      </w:tr>
      <w:tr>
        <w:trPr>
          <w:cantSplit w:val="true"/>
        </w:trPr>
        <w:tc>
          <w:tcPr>
            <w:tcW w:type="dxa" w:w="1296"/>
            <w:tcMar>
              <w:top w:w="80" w:type="dxa"/>
              <w:start w:w="105" w:type="dxa"/>
              <w:bottom w:w="80" w:type="dxa"/>
              <w:end w:w="105" w:type="dxa"/>
            </w:tcMar>
            <w:vAlign w:val="center"/>
          </w:tcPr>
          <w:p>
            <w:pPr>
              <w:spacing w:after="0"/>
            </w:pPr>
            <w:r>
              <w:rPr>
                <w:sz w:val="16"/>
              </w:rPr>
              <w:t>IMP-0201</w:t>
            </w:r>
          </w:p>
        </w:tc>
        <w:tc>
          <w:tcPr>
            <w:tcW w:type="dxa" w:w="4320"/>
            <w:tcMar>
              <w:top w:w="80" w:type="dxa"/>
              <w:start w:w="105" w:type="dxa"/>
              <w:bottom w:w="80" w:type="dxa"/>
              <w:end w:w="105" w:type="dxa"/>
            </w:tcMar>
            <w:vAlign w:val="center"/>
          </w:tcPr>
          <w:p>
            <w:pPr>
              <w:spacing w:after="0"/>
            </w:pPr>
            <w:r>
              <w:rPr>
                <w:sz w:val="16"/>
              </w:rPr>
              <w:t>Identity/RBAC migrations and seed roles</w:t>
            </w:r>
          </w:p>
        </w:tc>
        <w:tc>
          <w:tcPr>
            <w:tcW w:type="dxa" w:w="936"/>
            <w:tcMar>
              <w:top w:w="80" w:type="dxa"/>
              <w:start w:w="105" w:type="dxa"/>
              <w:bottom w:w="80" w:type="dxa"/>
              <w:end w:w="105" w:type="dxa"/>
            </w:tcMar>
            <w:vAlign w:val="center"/>
          </w:tcPr>
          <w:p>
            <w:pPr>
              <w:spacing w:after="0"/>
            </w:pPr>
            <w:r>
              <w:rPr>
                <w:sz w:val="16"/>
              </w:rPr>
              <w:t>5d</w:t>
            </w:r>
          </w:p>
        </w:tc>
        <w:tc>
          <w:tcPr>
            <w:tcW w:type="dxa" w:w="2808"/>
            <w:tcMar>
              <w:top w:w="80" w:type="dxa"/>
              <w:start w:w="105" w:type="dxa"/>
              <w:bottom w:w="80" w:type="dxa"/>
              <w:end w:w="105" w:type="dxa"/>
            </w:tcMar>
            <w:vAlign w:val="center"/>
          </w:tcPr>
          <w:p>
            <w:pPr>
              <w:spacing w:after="0"/>
            </w:pPr>
            <w:r>
              <w:rPr>
                <w:sz w:val="16"/>
              </w:rPr>
              <w:t>AUTH/RBAC; DAPI 4</w:t>
            </w:r>
          </w:p>
        </w:tc>
      </w:tr>
      <w:tr>
        <w:trPr>
          <w:cantSplit w:val="true"/>
        </w:trPr>
        <w:tc>
          <w:tcPr>
            <w:tcW w:type="dxa" w:w="1296"/>
            <w:tcMar>
              <w:top w:w="80" w:type="dxa"/>
              <w:start w:w="105" w:type="dxa"/>
              <w:bottom w:w="80" w:type="dxa"/>
              <w:end w:w="105" w:type="dxa"/>
            </w:tcMar>
            <w:vAlign w:val="center"/>
          </w:tcPr>
          <w:p>
            <w:pPr>
              <w:spacing w:after="0"/>
            </w:pPr>
            <w:r>
              <w:rPr>
                <w:sz w:val="16"/>
              </w:rPr>
              <w:t>IMP-0202</w:t>
            </w:r>
          </w:p>
        </w:tc>
        <w:tc>
          <w:tcPr>
            <w:tcW w:type="dxa" w:w="4320"/>
            <w:tcMar>
              <w:top w:w="80" w:type="dxa"/>
              <w:start w:w="105" w:type="dxa"/>
              <w:bottom w:w="80" w:type="dxa"/>
              <w:end w:w="105" w:type="dxa"/>
            </w:tcMar>
            <w:vAlign w:val="center"/>
          </w:tcPr>
          <w:p>
            <w:pPr>
              <w:spacing w:after="0"/>
            </w:pPr>
            <w:r>
              <w:rPr>
                <w:sz w:val="16"/>
              </w:rPr>
              <w:t>Argon2id login, session, lockout, logout</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AUTH; TADS 17</w:t>
            </w:r>
          </w:p>
        </w:tc>
      </w:tr>
      <w:tr>
        <w:trPr>
          <w:cantSplit w:val="true"/>
        </w:trPr>
        <w:tc>
          <w:tcPr>
            <w:tcW w:type="dxa" w:w="1296"/>
            <w:tcMar>
              <w:top w:w="80" w:type="dxa"/>
              <w:start w:w="105" w:type="dxa"/>
              <w:bottom w:w="80" w:type="dxa"/>
              <w:end w:w="105" w:type="dxa"/>
            </w:tcMar>
            <w:vAlign w:val="center"/>
          </w:tcPr>
          <w:p>
            <w:pPr>
              <w:spacing w:after="0"/>
            </w:pPr>
            <w:r>
              <w:rPr>
                <w:sz w:val="16"/>
              </w:rPr>
              <w:t>IMP-0203</w:t>
            </w:r>
          </w:p>
        </w:tc>
        <w:tc>
          <w:tcPr>
            <w:tcW w:type="dxa" w:w="4320"/>
            <w:tcMar>
              <w:top w:w="80" w:type="dxa"/>
              <w:start w:w="105" w:type="dxa"/>
              <w:bottom w:w="80" w:type="dxa"/>
              <w:end w:w="105" w:type="dxa"/>
            </w:tcMar>
            <w:vAlign w:val="center"/>
          </w:tcPr>
          <w:p>
            <w:pPr>
              <w:spacing w:after="0"/>
            </w:pPr>
            <w:r>
              <w:rPr>
                <w:sz w:val="16"/>
              </w:rPr>
              <w:t>Server-side permission policies and matrix tests</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RBAC</w:t>
            </w:r>
          </w:p>
        </w:tc>
      </w:tr>
      <w:tr>
        <w:trPr>
          <w:cantSplit w:val="true"/>
        </w:trPr>
        <w:tc>
          <w:tcPr>
            <w:tcW w:type="dxa" w:w="1296"/>
            <w:tcMar>
              <w:top w:w="80" w:type="dxa"/>
              <w:start w:w="105" w:type="dxa"/>
              <w:bottom w:w="80" w:type="dxa"/>
              <w:end w:w="105" w:type="dxa"/>
            </w:tcMar>
            <w:vAlign w:val="center"/>
          </w:tcPr>
          <w:p>
            <w:pPr>
              <w:spacing w:after="0"/>
            </w:pPr>
            <w:r>
              <w:rPr>
                <w:sz w:val="16"/>
              </w:rPr>
              <w:t>IMP-0204</w:t>
            </w:r>
          </w:p>
        </w:tc>
        <w:tc>
          <w:tcPr>
            <w:tcW w:type="dxa" w:w="4320"/>
            <w:tcMar>
              <w:top w:w="80" w:type="dxa"/>
              <w:start w:w="105" w:type="dxa"/>
              <w:bottom w:w="80" w:type="dxa"/>
              <w:end w:w="105" w:type="dxa"/>
            </w:tcMar>
            <w:vAlign w:val="center"/>
          </w:tcPr>
          <w:p>
            <w:pPr>
              <w:spacing w:after="0"/>
            </w:pPr>
            <w:r>
              <w:rPr>
                <w:sz w:val="16"/>
              </w:rPr>
              <w:t>Connection and encrypted secret schemas/services</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CONN/SEC; DAPI 5</w:t>
            </w:r>
          </w:p>
        </w:tc>
      </w:tr>
      <w:tr>
        <w:trPr>
          <w:cantSplit w:val="true"/>
        </w:trPr>
        <w:tc>
          <w:tcPr>
            <w:tcW w:type="dxa" w:w="1296"/>
            <w:tcMar>
              <w:top w:w="80" w:type="dxa"/>
              <w:start w:w="105" w:type="dxa"/>
              <w:bottom w:w="80" w:type="dxa"/>
              <w:end w:w="105" w:type="dxa"/>
            </w:tcMar>
            <w:vAlign w:val="center"/>
          </w:tcPr>
          <w:p>
            <w:pPr>
              <w:spacing w:after="0"/>
            </w:pPr>
            <w:r>
              <w:rPr>
                <w:sz w:val="16"/>
              </w:rPr>
              <w:t>IMP-0205</w:t>
            </w:r>
          </w:p>
        </w:tc>
        <w:tc>
          <w:tcPr>
            <w:tcW w:type="dxa" w:w="4320"/>
            <w:tcMar>
              <w:top w:w="80" w:type="dxa"/>
              <w:start w:w="105" w:type="dxa"/>
              <w:bottom w:w="80" w:type="dxa"/>
              <w:end w:w="105" w:type="dxa"/>
            </w:tcMar>
            <w:vAlign w:val="center"/>
          </w:tcPr>
          <w:p>
            <w:pPr>
              <w:spacing w:after="0"/>
            </w:pPr>
            <w:r>
              <w:rPr>
                <w:sz w:val="16"/>
              </w:rPr>
              <w:t>Envelope encryption and key rotation spike</w:t>
            </w:r>
          </w:p>
        </w:tc>
        <w:tc>
          <w:tcPr>
            <w:tcW w:type="dxa" w:w="936"/>
            <w:tcMar>
              <w:top w:w="80" w:type="dxa"/>
              <w:start w:w="105" w:type="dxa"/>
              <w:bottom w:w="80" w:type="dxa"/>
              <w:end w:w="105" w:type="dxa"/>
            </w:tcMar>
            <w:vAlign w:val="center"/>
          </w:tcPr>
          <w:p>
            <w:pPr>
              <w:spacing w:after="0"/>
            </w:pPr>
            <w:r>
              <w:rPr>
                <w:sz w:val="16"/>
              </w:rPr>
              <w:t>5d</w:t>
            </w:r>
          </w:p>
        </w:tc>
        <w:tc>
          <w:tcPr>
            <w:tcW w:type="dxa" w:w="2808"/>
            <w:tcMar>
              <w:top w:w="80" w:type="dxa"/>
              <w:start w:w="105" w:type="dxa"/>
              <w:bottom w:w="80" w:type="dxa"/>
              <w:end w:w="105" w:type="dxa"/>
            </w:tcMar>
            <w:vAlign w:val="center"/>
          </w:tcPr>
          <w:p>
            <w:pPr>
              <w:spacing w:after="0"/>
            </w:pPr>
            <w:r>
              <w:rPr>
                <w:sz w:val="16"/>
              </w:rPr>
              <w:t>TADS 18</w:t>
            </w:r>
          </w:p>
        </w:tc>
      </w:tr>
      <w:tr>
        <w:trPr>
          <w:cantSplit w:val="true"/>
        </w:trPr>
        <w:tc>
          <w:tcPr>
            <w:tcW w:type="dxa" w:w="1296"/>
            <w:tcMar>
              <w:top w:w="80" w:type="dxa"/>
              <w:start w:w="105" w:type="dxa"/>
              <w:bottom w:w="80" w:type="dxa"/>
              <w:end w:w="105" w:type="dxa"/>
            </w:tcMar>
            <w:vAlign w:val="center"/>
          </w:tcPr>
          <w:p>
            <w:pPr>
              <w:spacing w:after="0"/>
            </w:pPr>
            <w:r>
              <w:rPr>
                <w:sz w:val="16"/>
              </w:rPr>
              <w:t>IMP-0206</w:t>
            </w:r>
          </w:p>
        </w:tc>
        <w:tc>
          <w:tcPr>
            <w:tcW w:type="dxa" w:w="4320"/>
            <w:tcMar>
              <w:top w:w="80" w:type="dxa"/>
              <w:start w:w="105" w:type="dxa"/>
              <w:bottom w:w="80" w:type="dxa"/>
              <w:end w:w="105" w:type="dxa"/>
            </w:tcMar>
            <w:vAlign w:val="center"/>
          </w:tcPr>
          <w:p>
            <w:pPr>
              <w:spacing w:after="0"/>
            </w:pPr>
            <w:r>
              <w:rPr>
                <w:sz w:val="16"/>
              </w:rPr>
              <w:t>Inventory core migrations/repositories</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DISC/VM/INV; DAPI 6</w:t>
            </w:r>
          </w:p>
        </w:tc>
      </w:tr>
      <w:tr>
        <w:trPr>
          <w:cantSplit w:val="true"/>
        </w:trPr>
        <w:tc>
          <w:tcPr>
            <w:tcW w:type="dxa" w:w="1296"/>
            <w:tcMar>
              <w:top w:w="80" w:type="dxa"/>
              <w:start w:w="105" w:type="dxa"/>
              <w:bottom w:w="80" w:type="dxa"/>
              <w:end w:w="105" w:type="dxa"/>
            </w:tcMar>
            <w:vAlign w:val="center"/>
          </w:tcPr>
          <w:p>
            <w:pPr>
              <w:spacing w:after="0"/>
            </w:pPr>
            <w:r>
              <w:rPr>
                <w:sz w:val="16"/>
              </w:rPr>
              <w:t>IMP-0207</w:t>
            </w:r>
          </w:p>
        </w:tc>
        <w:tc>
          <w:tcPr>
            <w:tcW w:type="dxa" w:w="4320"/>
            <w:tcMar>
              <w:top w:w="80" w:type="dxa"/>
              <w:start w:w="105" w:type="dxa"/>
              <w:bottom w:w="80" w:type="dxa"/>
              <w:end w:w="105" w:type="dxa"/>
            </w:tcMar>
            <w:vAlign w:val="center"/>
          </w:tcPr>
          <w:p>
            <w:pPr>
              <w:spacing w:after="0"/>
            </w:pPr>
            <w:r>
              <w:rPr>
                <w:sz w:val="16"/>
              </w:rPr>
              <w:t>API global conventions, problem details, ETag, pagination</w:t>
            </w:r>
          </w:p>
        </w:tc>
        <w:tc>
          <w:tcPr>
            <w:tcW w:type="dxa" w:w="936"/>
            <w:tcMar>
              <w:top w:w="80" w:type="dxa"/>
              <w:start w:w="105" w:type="dxa"/>
              <w:bottom w:w="80" w:type="dxa"/>
              <w:end w:w="105" w:type="dxa"/>
            </w:tcMar>
            <w:vAlign w:val="center"/>
          </w:tcPr>
          <w:p>
            <w:pPr>
              <w:spacing w:after="0"/>
            </w:pPr>
            <w:r>
              <w:rPr>
                <w:sz w:val="16"/>
              </w:rPr>
              <w:t>7d</w:t>
            </w:r>
          </w:p>
        </w:tc>
        <w:tc>
          <w:tcPr>
            <w:tcW w:type="dxa" w:w="2808"/>
            <w:tcMar>
              <w:top w:w="80" w:type="dxa"/>
              <w:start w:w="105" w:type="dxa"/>
              <w:bottom w:w="80" w:type="dxa"/>
              <w:end w:w="105" w:type="dxa"/>
            </w:tcMar>
            <w:vAlign w:val="center"/>
          </w:tcPr>
          <w:p>
            <w:pPr>
              <w:spacing w:after="0"/>
            </w:pPr>
            <w:r>
              <w:rPr>
                <w:sz w:val="16"/>
              </w:rPr>
              <w:t>API; DAPI 14–15</w:t>
            </w:r>
          </w:p>
        </w:tc>
      </w:tr>
      <w:tr>
        <w:trPr>
          <w:cantSplit w:val="true"/>
        </w:trPr>
        <w:tc>
          <w:tcPr>
            <w:tcW w:type="dxa" w:w="1296"/>
            <w:tcMar>
              <w:top w:w="80" w:type="dxa"/>
              <w:start w:w="105" w:type="dxa"/>
              <w:bottom w:w="80" w:type="dxa"/>
              <w:end w:w="105" w:type="dxa"/>
            </w:tcMar>
            <w:vAlign w:val="center"/>
          </w:tcPr>
          <w:p>
            <w:pPr>
              <w:spacing w:after="0"/>
            </w:pPr>
            <w:r>
              <w:rPr>
                <w:sz w:val="16"/>
              </w:rPr>
              <w:t>IMP-0208</w:t>
            </w:r>
          </w:p>
        </w:tc>
        <w:tc>
          <w:tcPr>
            <w:tcW w:type="dxa" w:w="4320"/>
            <w:tcMar>
              <w:top w:w="80" w:type="dxa"/>
              <w:start w:w="105" w:type="dxa"/>
              <w:bottom w:w="80" w:type="dxa"/>
              <w:end w:w="105" w:type="dxa"/>
            </w:tcMar>
            <w:vAlign w:val="center"/>
          </w:tcPr>
          <w:p>
            <w:pPr>
              <w:spacing w:after="0"/>
            </w:pPr>
            <w:r>
              <w:rPr>
                <w:sz w:val="16"/>
              </w:rPr>
              <w:t>Authentication and user/role administration API</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DAPI 16</w:t>
            </w:r>
          </w:p>
        </w:tc>
      </w:tr>
      <w:tr>
        <w:trPr>
          <w:cantSplit w:val="true"/>
        </w:trPr>
        <w:tc>
          <w:tcPr>
            <w:tcW w:type="dxa" w:w="1296"/>
            <w:tcMar>
              <w:top w:w="80" w:type="dxa"/>
              <w:start w:w="105" w:type="dxa"/>
              <w:bottom w:w="80" w:type="dxa"/>
              <w:end w:w="105" w:type="dxa"/>
            </w:tcMar>
            <w:vAlign w:val="center"/>
          </w:tcPr>
          <w:p>
            <w:pPr>
              <w:spacing w:after="0"/>
            </w:pPr>
            <w:r>
              <w:rPr>
                <w:sz w:val="16"/>
              </w:rPr>
              <w:t>IMP-0209</w:t>
            </w:r>
          </w:p>
        </w:tc>
        <w:tc>
          <w:tcPr>
            <w:tcW w:type="dxa" w:w="4320"/>
            <w:tcMar>
              <w:top w:w="80" w:type="dxa"/>
              <w:start w:w="105" w:type="dxa"/>
              <w:bottom w:w="80" w:type="dxa"/>
              <w:end w:w="105" w:type="dxa"/>
            </w:tcMar>
            <w:vAlign w:val="center"/>
          </w:tcPr>
          <w:p>
            <w:pPr>
              <w:spacing w:after="0"/>
            </w:pPr>
            <w:r>
              <w:rPr>
                <w:sz w:val="16"/>
              </w:rPr>
              <w:t>Connection CRUD/credential rotation API</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DAPI 17</w:t>
            </w:r>
          </w:p>
        </w:tc>
      </w:tr>
      <w:tr>
        <w:trPr>
          <w:cantSplit w:val="true"/>
        </w:trPr>
        <w:tc>
          <w:tcPr>
            <w:tcW w:type="dxa" w:w="1296"/>
            <w:tcMar>
              <w:top w:w="80" w:type="dxa"/>
              <w:start w:w="105" w:type="dxa"/>
              <w:bottom w:w="80" w:type="dxa"/>
              <w:end w:w="105" w:type="dxa"/>
            </w:tcMar>
            <w:vAlign w:val="center"/>
          </w:tcPr>
          <w:p>
            <w:pPr>
              <w:spacing w:after="0"/>
            </w:pPr>
            <w:r>
              <w:rPr>
                <w:sz w:val="16"/>
              </w:rPr>
              <w:t>IMP-0210</w:t>
            </w:r>
          </w:p>
        </w:tc>
        <w:tc>
          <w:tcPr>
            <w:tcW w:type="dxa" w:w="4320"/>
            <w:tcMar>
              <w:top w:w="80" w:type="dxa"/>
              <w:start w:w="105" w:type="dxa"/>
              <w:bottom w:w="80" w:type="dxa"/>
              <w:end w:w="105" w:type="dxa"/>
            </w:tcMar>
            <w:vAlign w:val="center"/>
          </w:tcPr>
          <w:p>
            <w:pPr>
              <w:spacing w:after="0"/>
            </w:pPr>
            <w:r>
              <w:rPr>
                <w:sz w:val="16"/>
              </w:rPr>
              <w:t>Identity/security audit events and negative tests</w:t>
            </w:r>
          </w:p>
        </w:tc>
        <w:tc>
          <w:tcPr>
            <w:tcW w:type="dxa" w:w="936"/>
            <w:tcMar>
              <w:top w:w="80" w:type="dxa"/>
              <w:start w:w="105" w:type="dxa"/>
              <w:bottom w:w="80" w:type="dxa"/>
              <w:end w:w="105" w:type="dxa"/>
            </w:tcMar>
            <w:vAlign w:val="center"/>
          </w:tcPr>
          <w:p>
            <w:pPr>
              <w:spacing w:after="0"/>
            </w:pPr>
            <w:r>
              <w:rPr>
                <w:sz w:val="16"/>
              </w:rPr>
              <w:t>5d</w:t>
            </w:r>
          </w:p>
        </w:tc>
        <w:tc>
          <w:tcPr>
            <w:tcW w:type="dxa" w:w="2808"/>
            <w:tcMar>
              <w:top w:w="80" w:type="dxa"/>
              <w:start w:w="105" w:type="dxa"/>
              <w:bottom w:w="80" w:type="dxa"/>
              <w:end w:w="105" w:type="dxa"/>
            </w:tcMar>
            <w:vAlign w:val="center"/>
          </w:tcPr>
          <w:p>
            <w:pPr>
              <w:spacing w:after="0"/>
            </w:pPr>
            <w:r>
              <w:rPr>
                <w:sz w:val="16"/>
              </w:rPr>
              <w:t>AUD/PLATSEC</w:t>
            </w:r>
          </w:p>
        </w:tc>
      </w:tr>
    </w:tbl>
    <w:p>
      <w:pPr>
        <w:spacing w:after="20"/>
      </w:pPr>
    </w:p>
    <w:p>
      <w:pPr>
        <w:pStyle w:val="Heading1"/>
        <w:keepNext/>
      </w:pPr>
      <w:r>
        <w:t>12. M3 — Durable Tasks, Audit, and Observability</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296"/>
            <w:shd w:fill="17365D"/>
            <w:tcMar>
              <w:top w:w="80" w:type="dxa"/>
              <w:start w:w="105" w:type="dxa"/>
              <w:bottom w:w="80" w:type="dxa"/>
              <w:end w:w="105" w:type="dxa"/>
            </w:tcMar>
          </w:tcPr>
          <w:p>
            <w:r>
              <w:rPr>
                <w:b/>
                <w:color w:val="FFFFFF"/>
                <w:sz w:val="16"/>
              </w:rPr>
              <w:t>Backlog ID</w:t>
            </w:r>
          </w:p>
        </w:tc>
        <w:tc>
          <w:tcPr>
            <w:tcW w:type="dxa" w:w="4392"/>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2736"/>
            <w:shd w:fill="17365D"/>
            <w:tcMar>
              <w:top w:w="80" w:type="dxa"/>
              <w:start w:w="105" w:type="dxa"/>
              <w:bottom w:w="80" w:type="dxa"/>
              <w:end w:w="105" w:type="dxa"/>
            </w:tcMar>
          </w:tcPr>
          <w:p>
            <w:r>
              <w:rPr>
                <w:b/>
                <w:color w:val="FFFFFF"/>
                <w:sz w:val="16"/>
              </w:rPr>
              <w:t>Done evidence</w:t>
            </w:r>
          </w:p>
        </w:tc>
      </w:tr>
      <w:tr>
        <w:trPr>
          <w:cantSplit w:val="true"/>
        </w:trPr>
        <w:tc>
          <w:tcPr>
            <w:tcW w:type="dxa" w:w="1296"/>
            <w:tcMar>
              <w:top w:w="80" w:type="dxa"/>
              <w:start w:w="105" w:type="dxa"/>
              <w:bottom w:w="80" w:type="dxa"/>
              <w:end w:w="105" w:type="dxa"/>
            </w:tcMar>
            <w:vAlign w:val="center"/>
          </w:tcPr>
          <w:p>
            <w:pPr>
              <w:spacing w:after="0"/>
            </w:pPr>
            <w:r>
              <w:rPr>
                <w:sz w:val="16"/>
              </w:rPr>
              <w:t>IMP-0301</w:t>
            </w:r>
          </w:p>
        </w:tc>
        <w:tc>
          <w:tcPr>
            <w:tcW w:type="dxa" w:w="4392"/>
            <w:tcMar>
              <w:top w:w="80" w:type="dxa"/>
              <w:start w:w="105" w:type="dxa"/>
              <w:bottom w:w="80" w:type="dxa"/>
              <w:end w:w="105" w:type="dxa"/>
            </w:tcMar>
            <w:vAlign w:val="center"/>
          </w:tcPr>
          <w:p>
            <w:pPr>
              <w:spacing w:after="0"/>
            </w:pPr>
            <w:r>
              <w:rPr>
                <w:sz w:val="16"/>
              </w:rPr>
              <w:t>Task/outbox/idempotency migrations</w:t>
            </w:r>
          </w:p>
        </w:tc>
        <w:tc>
          <w:tcPr>
            <w:tcW w:type="dxa" w:w="936"/>
            <w:tcMar>
              <w:top w:w="80" w:type="dxa"/>
              <w:start w:w="105" w:type="dxa"/>
              <w:bottom w:w="80" w:type="dxa"/>
              <w:end w:w="105" w:type="dxa"/>
            </w:tcMar>
            <w:vAlign w:val="center"/>
          </w:tcPr>
          <w:p>
            <w:pPr>
              <w:spacing w:after="0"/>
            </w:pPr>
            <w:r>
              <w:rPr>
                <w:sz w:val="16"/>
              </w:rPr>
              <w:t>6d</w:t>
            </w:r>
          </w:p>
        </w:tc>
        <w:tc>
          <w:tcPr>
            <w:tcW w:type="dxa" w:w="2736"/>
            <w:tcMar>
              <w:top w:w="80" w:type="dxa"/>
              <w:start w:w="105" w:type="dxa"/>
              <w:bottom w:w="80" w:type="dxa"/>
              <w:end w:w="105" w:type="dxa"/>
            </w:tcMar>
            <w:vAlign w:val="center"/>
          </w:tcPr>
          <w:p>
            <w:pPr>
              <w:spacing w:after="0"/>
            </w:pPr>
            <w:r>
              <w:rPr>
                <w:sz w:val="16"/>
              </w:rPr>
              <w:t>Constraint and migration tests</w:t>
            </w:r>
          </w:p>
        </w:tc>
      </w:tr>
      <w:tr>
        <w:trPr>
          <w:cantSplit w:val="true"/>
        </w:trPr>
        <w:tc>
          <w:tcPr>
            <w:tcW w:type="dxa" w:w="1296"/>
            <w:tcMar>
              <w:top w:w="80" w:type="dxa"/>
              <w:start w:w="105" w:type="dxa"/>
              <w:bottom w:w="80" w:type="dxa"/>
              <w:end w:w="105" w:type="dxa"/>
            </w:tcMar>
            <w:vAlign w:val="center"/>
          </w:tcPr>
          <w:p>
            <w:pPr>
              <w:spacing w:after="0"/>
            </w:pPr>
            <w:r>
              <w:rPr>
                <w:sz w:val="16"/>
              </w:rPr>
              <w:t>IMP-0302</w:t>
            </w:r>
          </w:p>
        </w:tc>
        <w:tc>
          <w:tcPr>
            <w:tcW w:type="dxa" w:w="4392"/>
            <w:tcMar>
              <w:top w:w="80" w:type="dxa"/>
              <w:start w:w="105" w:type="dxa"/>
              <w:bottom w:w="80" w:type="dxa"/>
              <w:end w:w="105" w:type="dxa"/>
            </w:tcMar>
            <w:vAlign w:val="center"/>
          </w:tcPr>
          <w:p>
            <w:pPr>
              <w:spacing w:after="0"/>
            </w:pPr>
            <w:r>
              <w:rPr>
                <w:sz w:val="16"/>
              </w:rPr>
              <w:t>Task state machine and transition tests</w:t>
            </w:r>
          </w:p>
        </w:tc>
        <w:tc>
          <w:tcPr>
            <w:tcW w:type="dxa" w:w="936"/>
            <w:tcMar>
              <w:top w:w="80" w:type="dxa"/>
              <w:start w:w="105" w:type="dxa"/>
              <w:bottom w:w="80" w:type="dxa"/>
              <w:end w:w="105" w:type="dxa"/>
            </w:tcMar>
            <w:vAlign w:val="center"/>
          </w:tcPr>
          <w:p>
            <w:pPr>
              <w:spacing w:after="0"/>
            </w:pPr>
            <w:r>
              <w:rPr>
                <w:sz w:val="16"/>
              </w:rPr>
              <w:t>6d</w:t>
            </w:r>
          </w:p>
        </w:tc>
        <w:tc>
          <w:tcPr>
            <w:tcW w:type="dxa" w:w="2736"/>
            <w:tcMar>
              <w:top w:w="80" w:type="dxa"/>
              <w:start w:w="105" w:type="dxa"/>
              <w:bottom w:w="80" w:type="dxa"/>
              <w:end w:w="105" w:type="dxa"/>
            </w:tcMar>
            <w:vAlign w:val="center"/>
          </w:tcPr>
          <w:p>
            <w:pPr>
              <w:spacing w:after="0"/>
            </w:pPr>
            <w:r>
              <w:rPr>
                <w:sz w:val="16"/>
              </w:rPr>
              <w:t>All legal/illegal transitions</w:t>
            </w:r>
          </w:p>
        </w:tc>
      </w:tr>
      <w:tr>
        <w:trPr>
          <w:cantSplit w:val="true"/>
        </w:trPr>
        <w:tc>
          <w:tcPr>
            <w:tcW w:type="dxa" w:w="1296"/>
            <w:tcMar>
              <w:top w:w="80" w:type="dxa"/>
              <w:start w:w="105" w:type="dxa"/>
              <w:bottom w:w="80" w:type="dxa"/>
              <w:end w:w="105" w:type="dxa"/>
            </w:tcMar>
            <w:vAlign w:val="center"/>
          </w:tcPr>
          <w:p>
            <w:pPr>
              <w:spacing w:after="0"/>
            </w:pPr>
            <w:r>
              <w:rPr>
                <w:sz w:val="16"/>
              </w:rPr>
              <w:t>IMP-0303</w:t>
            </w:r>
          </w:p>
        </w:tc>
        <w:tc>
          <w:tcPr>
            <w:tcW w:type="dxa" w:w="4392"/>
            <w:tcMar>
              <w:top w:w="80" w:type="dxa"/>
              <w:start w:w="105" w:type="dxa"/>
              <w:bottom w:w="80" w:type="dxa"/>
              <w:end w:w="105" w:type="dxa"/>
            </w:tcMar>
            <w:vAlign w:val="center"/>
          </w:tcPr>
          <w:p>
            <w:pPr>
              <w:spacing w:after="0"/>
            </w:pPr>
            <w:r>
              <w:rPr>
                <w:sz w:val="16"/>
              </w:rPr>
              <w:t>Broker publisher, worker claims, leases, recovery</w:t>
            </w:r>
          </w:p>
        </w:tc>
        <w:tc>
          <w:tcPr>
            <w:tcW w:type="dxa" w:w="936"/>
            <w:tcMar>
              <w:top w:w="80" w:type="dxa"/>
              <w:start w:w="105" w:type="dxa"/>
              <w:bottom w:w="80" w:type="dxa"/>
              <w:end w:w="105" w:type="dxa"/>
            </w:tcMar>
            <w:vAlign w:val="center"/>
          </w:tcPr>
          <w:p>
            <w:pPr>
              <w:spacing w:after="0"/>
            </w:pPr>
            <w:r>
              <w:rPr>
                <w:sz w:val="16"/>
              </w:rPr>
              <w:t>10d</w:t>
            </w:r>
          </w:p>
        </w:tc>
        <w:tc>
          <w:tcPr>
            <w:tcW w:type="dxa" w:w="2736"/>
            <w:tcMar>
              <w:top w:w="80" w:type="dxa"/>
              <w:start w:w="105" w:type="dxa"/>
              <w:bottom w:w="80" w:type="dxa"/>
              <w:end w:w="105" w:type="dxa"/>
            </w:tcMar>
            <w:vAlign w:val="center"/>
          </w:tcPr>
          <w:p>
            <w:pPr>
              <w:spacing w:after="0"/>
            </w:pPr>
            <w:r>
              <w:rPr>
                <w:sz w:val="16"/>
              </w:rPr>
              <w:t>Crash/redelivery/lease tests</w:t>
            </w:r>
          </w:p>
        </w:tc>
      </w:tr>
      <w:tr>
        <w:trPr>
          <w:cantSplit w:val="true"/>
        </w:trPr>
        <w:tc>
          <w:tcPr>
            <w:tcW w:type="dxa" w:w="1296"/>
            <w:tcMar>
              <w:top w:w="80" w:type="dxa"/>
              <w:start w:w="105" w:type="dxa"/>
              <w:bottom w:w="80" w:type="dxa"/>
              <w:end w:w="105" w:type="dxa"/>
            </w:tcMar>
            <w:vAlign w:val="center"/>
          </w:tcPr>
          <w:p>
            <w:pPr>
              <w:spacing w:after="0"/>
            </w:pPr>
            <w:r>
              <w:rPr>
                <w:sz w:val="16"/>
              </w:rPr>
              <w:t>IMP-0304</w:t>
            </w:r>
          </w:p>
        </w:tc>
        <w:tc>
          <w:tcPr>
            <w:tcW w:type="dxa" w:w="4392"/>
            <w:tcMar>
              <w:top w:w="80" w:type="dxa"/>
              <w:start w:w="105" w:type="dxa"/>
              <w:bottom w:w="80" w:type="dxa"/>
              <w:end w:w="105" w:type="dxa"/>
            </w:tcMar>
            <w:vAlign w:val="center"/>
          </w:tcPr>
          <w:p>
            <w:pPr>
              <w:spacing w:after="0"/>
            </w:pPr>
            <w:r>
              <w:rPr>
                <w:sz w:val="16"/>
              </w:rPr>
              <w:t>Retry, timeout, cancellation, verification-required policies</w:t>
            </w:r>
          </w:p>
        </w:tc>
        <w:tc>
          <w:tcPr>
            <w:tcW w:type="dxa" w:w="936"/>
            <w:tcMar>
              <w:top w:w="80" w:type="dxa"/>
              <w:start w:w="105" w:type="dxa"/>
              <w:bottom w:w="80" w:type="dxa"/>
              <w:end w:w="105" w:type="dxa"/>
            </w:tcMar>
            <w:vAlign w:val="center"/>
          </w:tcPr>
          <w:p>
            <w:pPr>
              <w:spacing w:after="0"/>
            </w:pPr>
            <w:r>
              <w:rPr>
                <w:sz w:val="16"/>
              </w:rPr>
              <w:t>7d</w:t>
            </w:r>
          </w:p>
        </w:tc>
        <w:tc>
          <w:tcPr>
            <w:tcW w:type="dxa" w:w="2736"/>
            <w:tcMar>
              <w:top w:w="80" w:type="dxa"/>
              <w:start w:w="105" w:type="dxa"/>
              <w:bottom w:w="80" w:type="dxa"/>
              <w:end w:w="105" w:type="dxa"/>
            </w:tcMar>
            <w:vAlign w:val="center"/>
          </w:tcPr>
          <w:p>
            <w:pPr>
              <w:spacing w:after="0"/>
            </w:pPr>
            <w:r>
              <w:rPr>
                <w:sz w:val="16"/>
              </w:rPr>
              <w:t>Failure injection results</w:t>
            </w:r>
          </w:p>
        </w:tc>
      </w:tr>
      <w:tr>
        <w:trPr>
          <w:cantSplit w:val="true"/>
        </w:trPr>
        <w:tc>
          <w:tcPr>
            <w:tcW w:type="dxa" w:w="1296"/>
            <w:tcMar>
              <w:top w:w="80" w:type="dxa"/>
              <w:start w:w="105" w:type="dxa"/>
              <w:bottom w:w="80" w:type="dxa"/>
              <w:end w:w="105" w:type="dxa"/>
            </w:tcMar>
            <w:vAlign w:val="center"/>
          </w:tcPr>
          <w:p>
            <w:pPr>
              <w:spacing w:after="0"/>
            </w:pPr>
            <w:r>
              <w:rPr>
                <w:sz w:val="16"/>
              </w:rPr>
              <w:t>IMP-0305</w:t>
            </w:r>
          </w:p>
        </w:tc>
        <w:tc>
          <w:tcPr>
            <w:tcW w:type="dxa" w:w="4392"/>
            <w:tcMar>
              <w:top w:w="80" w:type="dxa"/>
              <w:start w:w="105" w:type="dxa"/>
              <w:bottom w:w="80" w:type="dxa"/>
              <w:end w:w="105" w:type="dxa"/>
            </w:tcMar>
            <w:vAlign w:val="center"/>
          </w:tcPr>
          <w:p>
            <w:pPr>
              <w:spacing w:after="0"/>
            </w:pPr>
            <w:r>
              <w:rPr>
                <w:sz w:val="16"/>
              </w:rPr>
              <w:t>Append-only audit store and search API</w:t>
            </w:r>
          </w:p>
        </w:tc>
        <w:tc>
          <w:tcPr>
            <w:tcW w:type="dxa" w:w="936"/>
            <w:tcMar>
              <w:top w:w="80" w:type="dxa"/>
              <w:start w:w="105" w:type="dxa"/>
              <w:bottom w:w="80" w:type="dxa"/>
              <w:end w:w="105" w:type="dxa"/>
            </w:tcMar>
            <w:vAlign w:val="center"/>
          </w:tcPr>
          <w:p>
            <w:pPr>
              <w:spacing w:after="0"/>
            </w:pPr>
            <w:r>
              <w:rPr>
                <w:sz w:val="16"/>
              </w:rPr>
              <w:t>7d</w:t>
            </w:r>
          </w:p>
        </w:tc>
        <w:tc>
          <w:tcPr>
            <w:tcW w:type="dxa" w:w="2736"/>
            <w:tcMar>
              <w:top w:w="80" w:type="dxa"/>
              <w:start w:w="105" w:type="dxa"/>
              <w:bottom w:w="80" w:type="dxa"/>
              <w:end w:w="105" w:type="dxa"/>
            </w:tcMar>
            <w:vAlign w:val="center"/>
          </w:tcPr>
          <w:p>
            <w:pPr>
              <w:spacing w:after="0"/>
            </w:pPr>
            <w:r>
              <w:rPr>
                <w:sz w:val="16"/>
              </w:rPr>
              <w:t>Atomicity, authorization, redaction</w:t>
            </w:r>
          </w:p>
        </w:tc>
      </w:tr>
      <w:tr>
        <w:trPr>
          <w:cantSplit w:val="true"/>
        </w:trPr>
        <w:tc>
          <w:tcPr>
            <w:tcW w:type="dxa" w:w="1296"/>
            <w:tcMar>
              <w:top w:w="80" w:type="dxa"/>
              <w:start w:w="105" w:type="dxa"/>
              <w:bottom w:w="80" w:type="dxa"/>
              <w:end w:w="105" w:type="dxa"/>
            </w:tcMar>
            <w:vAlign w:val="center"/>
          </w:tcPr>
          <w:p>
            <w:pPr>
              <w:spacing w:after="0"/>
            </w:pPr>
            <w:r>
              <w:rPr>
                <w:sz w:val="16"/>
              </w:rPr>
              <w:t>IMP-0306</w:t>
            </w:r>
          </w:p>
        </w:tc>
        <w:tc>
          <w:tcPr>
            <w:tcW w:type="dxa" w:w="4392"/>
            <w:tcMar>
              <w:top w:w="80" w:type="dxa"/>
              <w:start w:w="105" w:type="dxa"/>
              <w:bottom w:w="80" w:type="dxa"/>
              <w:end w:w="105" w:type="dxa"/>
            </w:tcMar>
            <w:vAlign w:val="center"/>
          </w:tcPr>
          <w:p>
            <w:pPr>
              <w:spacing w:after="0"/>
            </w:pPr>
            <w:r>
              <w:rPr>
                <w:sz w:val="16"/>
              </w:rPr>
              <w:t>Operational events and platform health</w:t>
            </w:r>
          </w:p>
        </w:tc>
        <w:tc>
          <w:tcPr>
            <w:tcW w:type="dxa" w:w="936"/>
            <w:tcMar>
              <w:top w:w="80" w:type="dxa"/>
              <w:start w:w="105" w:type="dxa"/>
              <w:bottom w:w="80" w:type="dxa"/>
              <w:end w:w="105" w:type="dxa"/>
            </w:tcMar>
            <w:vAlign w:val="center"/>
          </w:tcPr>
          <w:p>
            <w:pPr>
              <w:spacing w:after="0"/>
            </w:pPr>
            <w:r>
              <w:rPr>
                <w:sz w:val="16"/>
              </w:rPr>
              <w:t>6d</w:t>
            </w:r>
          </w:p>
        </w:tc>
        <w:tc>
          <w:tcPr>
            <w:tcW w:type="dxa" w:w="2736"/>
            <w:tcMar>
              <w:top w:w="80" w:type="dxa"/>
              <w:start w:w="105" w:type="dxa"/>
              <w:bottom w:w="80" w:type="dxa"/>
              <w:end w:w="105" w:type="dxa"/>
            </w:tcMar>
            <w:vAlign w:val="center"/>
          </w:tcPr>
          <w:p>
            <w:pPr>
              <w:spacing w:after="0"/>
            </w:pPr>
            <w:r>
              <w:rPr>
                <w:sz w:val="16"/>
              </w:rPr>
              <w:t>Component/connection health</w:t>
            </w:r>
          </w:p>
        </w:tc>
      </w:tr>
      <w:tr>
        <w:trPr>
          <w:cantSplit w:val="true"/>
        </w:trPr>
        <w:tc>
          <w:tcPr>
            <w:tcW w:type="dxa" w:w="1296"/>
            <w:tcMar>
              <w:top w:w="80" w:type="dxa"/>
              <w:start w:w="105" w:type="dxa"/>
              <w:bottom w:w="80" w:type="dxa"/>
              <w:end w:w="105" w:type="dxa"/>
            </w:tcMar>
            <w:vAlign w:val="center"/>
          </w:tcPr>
          <w:p>
            <w:pPr>
              <w:spacing w:after="0"/>
            </w:pPr>
            <w:r>
              <w:rPr>
                <w:sz w:val="16"/>
              </w:rPr>
              <w:t>IMP-0307</w:t>
            </w:r>
          </w:p>
        </w:tc>
        <w:tc>
          <w:tcPr>
            <w:tcW w:type="dxa" w:w="4392"/>
            <w:tcMar>
              <w:top w:w="80" w:type="dxa"/>
              <w:start w:w="105" w:type="dxa"/>
              <w:bottom w:w="80" w:type="dxa"/>
              <w:end w:w="105" w:type="dxa"/>
            </w:tcMar>
            <w:vAlign w:val="center"/>
          </w:tcPr>
          <w:p>
            <w:pPr>
              <w:spacing w:after="0"/>
            </w:pPr>
            <w:r>
              <w:rPr>
                <w:sz w:val="16"/>
              </w:rPr>
              <w:t>Task history/detail/cancel/retry APIs</w:t>
            </w:r>
          </w:p>
        </w:tc>
        <w:tc>
          <w:tcPr>
            <w:tcW w:type="dxa" w:w="936"/>
            <w:tcMar>
              <w:top w:w="80" w:type="dxa"/>
              <w:start w:w="105" w:type="dxa"/>
              <w:bottom w:w="80" w:type="dxa"/>
              <w:end w:w="105" w:type="dxa"/>
            </w:tcMar>
            <w:vAlign w:val="center"/>
          </w:tcPr>
          <w:p>
            <w:pPr>
              <w:spacing w:after="0"/>
            </w:pPr>
            <w:r>
              <w:rPr>
                <w:sz w:val="16"/>
              </w:rPr>
              <w:t>6d</w:t>
            </w:r>
          </w:p>
        </w:tc>
        <w:tc>
          <w:tcPr>
            <w:tcW w:type="dxa" w:w="2736"/>
            <w:tcMar>
              <w:top w:w="80" w:type="dxa"/>
              <w:start w:w="105" w:type="dxa"/>
              <w:bottom w:w="80" w:type="dxa"/>
              <w:end w:w="105" w:type="dxa"/>
            </w:tcMar>
            <w:vAlign w:val="center"/>
          </w:tcPr>
          <w:p>
            <w:pPr>
              <w:spacing w:after="0"/>
            </w:pPr>
            <w:r>
              <w:rPr>
                <w:sz w:val="16"/>
              </w:rPr>
              <w:t>OpenAPI contract tests</w:t>
            </w:r>
          </w:p>
        </w:tc>
      </w:tr>
      <w:tr>
        <w:trPr>
          <w:cantSplit w:val="true"/>
        </w:trPr>
        <w:tc>
          <w:tcPr>
            <w:tcW w:type="dxa" w:w="1296"/>
            <w:tcMar>
              <w:top w:w="80" w:type="dxa"/>
              <w:start w:w="105" w:type="dxa"/>
              <w:bottom w:w="80" w:type="dxa"/>
              <w:end w:w="105" w:type="dxa"/>
            </w:tcMar>
            <w:vAlign w:val="center"/>
          </w:tcPr>
          <w:p>
            <w:pPr>
              <w:spacing w:after="0"/>
            </w:pPr>
            <w:r>
              <w:rPr>
                <w:sz w:val="16"/>
              </w:rPr>
              <w:t>IMP-0308</w:t>
            </w:r>
          </w:p>
        </w:tc>
        <w:tc>
          <w:tcPr>
            <w:tcW w:type="dxa" w:w="4392"/>
            <w:tcMar>
              <w:top w:w="80" w:type="dxa"/>
              <w:start w:w="105" w:type="dxa"/>
              <w:bottom w:w="80" w:type="dxa"/>
              <w:end w:w="105" w:type="dxa"/>
            </w:tcMar>
            <w:vAlign w:val="center"/>
          </w:tcPr>
          <w:p>
            <w:pPr>
              <w:spacing w:after="0"/>
            </w:pPr>
            <w:r>
              <w:rPr>
                <w:sz w:val="16"/>
              </w:rPr>
              <w:t>Metrics/dashboards for API, queue, workers, tasks</w:t>
            </w:r>
          </w:p>
        </w:tc>
        <w:tc>
          <w:tcPr>
            <w:tcW w:type="dxa" w:w="936"/>
            <w:tcMar>
              <w:top w:w="80" w:type="dxa"/>
              <w:start w:w="105" w:type="dxa"/>
              <w:bottom w:w="80" w:type="dxa"/>
              <w:end w:w="105" w:type="dxa"/>
            </w:tcMar>
            <w:vAlign w:val="center"/>
          </w:tcPr>
          <w:p>
            <w:pPr>
              <w:spacing w:after="0"/>
            </w:pPr>
            <w:r>
              <w:rPr>
                <w:sz w:val="16"/>
              </w:rPr>
              <w:t>5d</w:t>
            </w:r>
          </w:p>
        </w:tc>
        <w:tc>
          <w:tcPr>
            <w:tcW w:type="dxa" w:w="2736"/>
            <w:tcMar>
              <w:top w:w="80" w:type="dxa"/>
              <w:start w:w="105" w:type="dxa"/>
              <w:bottom w:w="80" w:type="dxa"/>
              <w:end w:w="105" w:type="dxa"/>
            </w:tcMar>
            <w:vAlign w:val="center"/>
          </w:tcPr>
          <w:p>
            <w:pPr>
              <w:spacing w:after="0"/>
            </w:pPr>
            <w:r>
              <w:rPr>
                <w:sz w:val="16"/>
              </w:rPr>
              <w:t>Alertable telemetry</w:t>
            </w:r>
          </w:p>
        </w:tc>
      </w:tr>
      <w:tr>
        <w:trPr>
          <w:cantSplit w:val="true"/>
        </w:trPr>
        <w:tc>
          <w:tcPr>
            <w:tcW w:type="dxa" w:w="1296"/>
            <w:tcMar>
              <w:top w:w="80" w:type="dxa"/>
              <w:start w:w="105" w:type="dxa"/>
              <w:bottom w:w="80" w:type="dxa"/>
              <w:end w:w="105" w:type="dxa"/>
            </w:tcMar>
            <w:vAlign w:val="center"/>
          </w:tcPr>
          <w:p>
            <w:pPr>
              <w:spacing w:after="0"/>
            </w:pPr>
            <w:r>
              <w:rPr>
                <w:sz w:val="16"/>
              </w:rPr>
              <w:t>IMP-0309</w:t>
            </w:r>
          </w:p>
        </w:tc>
        <w:tc>
          <w:tcPr>
            <w:tcW w:type="dxa" w:w="4392"/>
            <w:tcMar>
              <w:top w:w="80" w:type="dxa"/>
              <w:start w:w="105" w:type="dxa"/>
              <w:bottom w:w="80" w:type="dxa"/>
              <w:end w:w="105" w:type="dxa"/>
            </w:tcMar>
            <w:vAlign w:val="center"/>
          </w:tcPr>
          <w:p>
            <w:pPr>
              <w:spacing w:after="0"/>
            </w:pPr>
            <w:r>
              <w:rPr>
                <w:sz w:val="16"/>
              </w:rPr>
              <w:t>Backup/restore automation baseline</w:t>
            </w:r>
          </w:p>
        </w:tc>
        <w:tc>
          <w:tcPr>
            <w:tcW w:type="dxa" w:w="936"/>
            <w:tcMar>
              <w:top w:w="80" w:type="dxa"/>
              <w:start w:w="105" w:type="dxa"/>
              <w:bottom w:w="80" w:type="dxa"/>
              <w:end w:w="105" w:type="dxa"/>
            </w:tcMar>
            <w:vAlign w:val="center"/>
          </w:tcPr>
          <w:p>
            <w:pPr>
              <w:spacing w:after="0"/>
            </w:pPr>
            <w:r>
              <w:rPr>
                <w:sz w:val="16"/>
              </w:rPr>
              <w:t>5d</w:t>
            </w:r>
          </w:p>
        </w:tc>
        <w:tc>
          <w:tcPr>
            <w:tcW w:type="dxa" w:w="2736"/>
            <w:tcMar>
              <w:top w:w="80" w:type="dxa"/>
              <w:start w:w="105" w:type="dxa"/>
              <w:bottom w:w="80" w:type="dxa"/>
              <w:end w:w="105" w:type="dxa"/>
            </w:tcMar>
            <w:vAlign w:val="center"/>
          </w:tcPr>
          <w:p>
            <w:pPr>
              <w:spacing w:after="0"/>
            </w:pPr>
            <w:r>
              <w:rPr>
                <w:sz w:val="16"/>
              </w:rPr>
              <w:t>Successful restore smoke</w:t>
            </w:r>
          </w:p>
        </w:tc>
      </w:tr>
    </w:tbl>
    <w:p>
      <w:pPr>
        <w:spacing w:after="20"/>
      </w:pPr>
    </w:p>
    <w:p>
      <w:pPr>
        <w:pStyle w:val="Heading1"/>
        <w:keepNext/>
        <w:pageBreakBefore/>
      </w:pPr>
      <w:r>
        <w:t>13. M4 — VMware vCenter/ESXi Vertical Slice</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296"/>
            <w:shd w:fill="17365D"/>
            <w:tcMar>
              <w:top w:w="80" w:type="dxa"/>
              <w:start w:w="105" w:type="dxa"/>
              <w:bottom w:w="80" w:type="dxa"/>
              <w:end w:w="105" w:type="dxa"/>
            </w:tcMar>
          </w:tcPr>
          <w:p>
            <w:r>
              <w:rPr>
                <w:b/>
                <w:color w:val="FFFFFF"/>
                <w:sz w:val="16"/>
              </w:rPr>
              <w:t>Backlog ID</w:t>
            </w:r>
          </w:p>
        </w:tc>
        <w:tc>
          <w:tcPr>
            <w:tcW w:type="dxa" w:w="4320"/>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2808"/>
            <w:shd w:fill="17365D"/>
            <w:tcMar>
              <w:top w:w="80" w:type="dxa"/>
              <w:start w:w="105" w:type="dxa"/>
              <w:bottom w:w="80" w:type="dxa"/>
              <w:end w:w="105" w:type="dxa"/>
            </w:tcMar>
          </w:tcPr>
          <w:p>
            <w:r>
              <w:rPr>
                <w:b/>
                <w:color w:val="FFFFFF"/>
                <w:sz w:val="16"/>
              </w:rPr>
              <w:t>Acceptance</w:t>
            </w:r>
          </w:p>
        </w:tc>
      </w:tr>
      <w:tr>
        <w:trPr>
          <w:cantSplit w:val="true"/>
        </w:trPr>
        <w:tc>
          <w:tcPr>
            <w:tcW w:type="dxa" w:w="1296"/>
            <w:tcMar>
              <w:top w:w="80" w:type="dxa"/>
              <w:start w:w="105" w:type="dxa"/>
              <w:bottom w:w="80" w:type="dxa"/>
              <w:end w:w="105" w:type="dxa"/>
            </w:tcMar>
            <w:vAlign w:val="center"/>
          </w:tcPr>
          <w:p>
            <w:pPr>
              <w:spacing w:after="0"/>
            </w:pPr>
            <w:r>
              <w:rPr>
                <w:sz w:val="16"/>
              </w:rPr>
              <w:t>IMP-0401</w:t>
            </w:r>
          </w:p>
        </w:tc>
        <w:tc>
          <w:tcPr>
            <w:tcW w:type="dxa" w:w="4320"/>
            <w:tcMar>
              <w:top w:w="80" w:type="dxa"/>
              <w:start w:w="105" w:type="dxa"/>
              <w:bottom w:w="80" w:type="dxa"/>
              <w:end w:w="105" w:type="dxa"/>
            </w:tcMar>
            <w:vAlign w:val="center"/>
          </w:tcPr>
          <w:p>
            <w:pPr>
              <w:spacing w:after="0"/>
            </w:pPr>
            <w:r>
              <w:rPr>
                <w:sz w:val="16"/>
              </w:rPr>
              <w:t>VMware SDK/permissions/version spike</w:t>
            </w:r>
          </w:p>
        </w:tc>
        <w:tc>
          <w:tcPr>
            <w:tcW w:type="dxa" w:w="936"/>
            <w:tcMar>
              <w:top w:w="80" w:type="dxa"/>
              <w:start w:w="105" w:type="dxa"/>
              <w:bottom w:w="80" w:type="dxa"/>
              <w:end w:w="105" w:type="dxa"/>
            </w:tcMar>
            <w:vAlign w:val="center"/>
          </w:tcPr>
          <w:p>
            <w:pPr>
              <w:spacing w:after="0"/>
            </w:pPr>
            <w:r>
              <w:rPr>
                <w:sz w:val="16"/>
              </w:rPr>
              <w:t>5d</w:t>
            </w:r>
          </w:p>
        </w:tc>
        <w:tc>
          <w:tcPr>
            <w:tcW w:type="dxa" w:w="2808"/>
            <w:tcMar>
              <w:top w:w="80" w:type="dxa"/>
              <w:start w:w="105" w:type="dxa"/>
              <w:bottom w:w="80" w:type="dxa"/>
              <w:end w:w="105" w:type="dxa"/>
            </w:tcMar>
            <w:vAlign w:val="center"/>
          </w:tcPr>
          <w:p>
            <w:pPr>
              <w:spacing w:after="0"/>
            </w:pPr>
            <w:r>
              <w:rPr>
                <w:sz w:val="16"/>
              </w:rPr>
              <w:t>Supported interfaces and compatibility matrix</w:t>
            </w:r>
          </w:p>
        </w:tc>
      </w:tr>
      <w:tr>
        <w:trPr>
          <w:cantSplit w:val="true"/>
        </w:trPr>
        <w:tc>
          <w:tcPr>
            <w:tcW w:type="dxa" w:w="1296"/>
            <w:tcMar>
              <w:top w:w="80" w:type="dxa"/>
              <w:start w:w="105" w:type="dxa"/>
              <w:bottom w:w="80" w:type="dxa"/>
              <w:end w:w="105" w:type="dxa"/>
            </w:tcMar>
            <w:vAlign w:val="center"/>
          </w:tcPr>
          <w:p>
            <w:pPr>
              <w:spacing w:after="0"/>
            </w:pPr>
            <w:r>
              <w:rPr>
                <w:sz w:val="16"/>
              </w:rPr>
              <w:t>IMP-0402</w:t>
            </w:r>
          </w:p>
        </w:tc>
        <w:tc>
          <w:tcPr>
            <w:tcW w:type="dxa" w:w="4320"/>
            <w:tcMar>
              <w:top w:w="80" w:type="dxa"/>
              <w:start w:w="105" w:type="dxa"/>
              <w:bottom w:w="80" w:type="dxa"/>
              <w:end w:w="105" w:type="dxa"/>
            </w:tcMar>
            <w:vAlign w:val="center"/>
          </w:tcPr>
          <w:p>
            <w:pPr>
              <w:spacing w:after="0"/>
            </w:pPr>
            <w:r>
              <w:rPr>
                <w:sz w:val="16"/>
              </w:rPr>
              <w:t>Connection validation, TLS, error mapping</w:t>
            </w:r>
          </w:p>
        </w:tc>
        <w:tc>
          <w:tcPr>
            <w:tcW w:type="dxa" w:w="936"/>
            <w:tcMar>
              <w:top w:w="80" w:type="dxa"/>
              <w:start w:w="105" w:type="dxa"/>
              <w:bottom w:w="80" w:type="dxa"/>
              <w:end w:w="105" w:type="dxa"/>
            </w:tcMar>
            <w:vAlign w:val="center"/>
          </w:tcPr>
          <w:p>
            <w:pPr>
              <w:spacing w:after="0"/>
            </w:pPr>
            <w:r>
              <w:rPr>
                <w:sz w:val="16"/>
              </w:rPr>
              <w:t>7d</w:t>
            </w:r>
          </w:p>
        </w:tc>
        <w:tc>
          <w:tcPr>
            <w:tcW w:type="dxa" w:w="2808"/>
            <w:tcMar>
              <w:top w:w="80" w:type="dxa"/>
              <w:start w:w="105" w:type="dxa"/>
              <w:bottom w:w="80" w:type="dxa"/>
              <w:end w:w="105" w:type="dxa"/>
            </w:tcMar>
            <w:vAlign w:val="center"/>
          </w:tcPr>
          <w:p>
            <w:pPr>
              <w:spacing w:after="0"/>
            </w:pPr>
            <w:r>
              <w:rPr>
                <w:sz w:val="16"/>
              </w:rPr>
              <w:t>Secret-safe success/failure cases</w:t>
            </w:r>
          </w:p>
        </w:tc>
      </w:tr>
      <w:tr>
        <w:trPr>
          <w:cantSplit w:val="true"/>
        </w:trPr>
        <w:tc>
          <w:tcPr>
            <w:tcW w:type="dxa" w:w="1296"/>
            <w:tcMar>
              <w:top w:w="80" w:type="dxa"/>
              <w:start w:w="105" w:type="dxa"/>
              <w:bottom w:w="80" w:type="dxa"/>
              <w:end w:w="105" w:type="dxa"/>
            </w:tcMar>
            <w:vAlign w:val="center"/>
          </w:tcPr>
          <w:p>
            <w:pPr>
              <w:spacing w:after="0"/>
            </w:pPr>
            <w:r>
              <w:rPr>
                <w:sz w:val="16"/>
              </w:rPr>
              <w:t>IMP-0403</w:t>
            </w:r>
          </w:p>
        </w:tc>
        <w:tc>
          <w:tcPr>
            <w:tcW w:type="dxa" w:w="4320"/>
            <w:tcMar>
              <w:top w:w="80" w:type="dxa"/>
              <w:start w:w="105" w:type="dxa"/>
              <w:bottom w:w="80" w:type="dxa"/>
              <w:end w:w="105" w:type="dxa"/>
            </w:tcMar>
            <w:vAlign w:val="center"/>
          </w:tcPr>
          <w:p>
            <w:pPr>
              <w:spacing w:after="0"/>
            </w:pPr>
            <w:r>
              <w:rPr>
                <w:sz w:val="16"/>
              </w:rPr>
              <w:t>Datacenter/cluster/host/datastore/network discovery</w:t>
            </w:r>
          </w:p>
        </w:tc>
        <w:tc>
          <w:tcPr>
            <w:tcW w:type="dxa" w:w="936"/>
            <w:tcMar>
              <w:top w:w="80" w:type="dxa"/>
              <w:start w:w="105" w:type="dxa"/>
              <w:bottom w:w="80" w:type="dxa"/>
              <w:end w:w="105" w:type="dxa"/>
            </w:tcMar>
            <w:vAlign w:val="center"/>
          </w:tcPr>
          <w:p>
            <w:pPr>
              <w:spacing w:after="0"/>
            </w:pPr>
            <w:r>
              <w:rPr>
                <w:sz w:val="16"/>
              </w:rPr>
              <w:t>10d</w:t>
            </w:r>
          </w:p>
        </w:tc>
        <w:tc>
          <w:tcPr>
            <w:tcW w:type="dxa" w:w="2808"/>
            <w:tcMar>
              <w:top w:w="80" w:type="dxa"/>
              <w:start w:w="105" w:type="dxa"/>
              <w:bottom w:w="80" w:type="dxa"/>
              <w:end w:w="105" w:type="dxa"/>
            </w:tcMar>
            <w:vAlign w:val="center"/>
          </w:tcPr>
          <w:p>
            <w:pPr>
              <w:spacing w:after="0"/>
            </w:pPr>
            <w:r>
              <w:rPr>
                <w:sz w:val="16"/>
              </w:rPr>
              <w:t>Paged hierarchy and identity</w:t>
            </w:r>
          </w:p>
        </w:tc>
      </w:tr>
      <w:tr>
        <w:trPr>
          <w:cantSplit w:val="true"/>
        </w:trPr>
        <w:tc>
          <w:tcPr>
            <w:tcW w:type="dxa" w:w="1296"/>
            <w:tcMar>
              <w:top w:w="80" w:type="dxa"/>
              <w:start w:w="105" w:type="dxa"/>
              <w:bottom w:w="80" w:type="dxa"/>
              <w:end w:w="105" w:type="dxa"/>
            </w:tcMar>
            <w:vAlign w:val="center"/>
          </w:tcPr>
          <w:p>
            <w:pPr>
              <w:spacing w:after="0"/>
            </w:pPr>
            <w:r>
              <w:rPr>
                <w:sz w:val="16"/>
              </w:rPr>
              <w:t>IMP-0404</w:t>
            </w:r>
          </w:p>
        </w:tc>
        <w:tc>
          <w:tcPr>
            <w:tcW w:type="dxa" w:w="4320"/>
            <w:tcMar>
              <w:top w:w="80" w:type="dxa"/>
              <w:start w:w="105" w:type="dxa"/>
              <w:bottom w:w="80" w:type="dxa"/>
              <w:end w:w="105" w:type="dxa"/>
            </w:tcMar>
            <w:vAlign w:val="center"/>
          </w:tcPr>
          <w:p>
            <w:pPr>
              <w:spacing w:after="0"/>
            </w:pPr>
            <w:r>
              <w:rPr>
                <w:sz w:val="16"/>
              </w:rPr>
              <w:t>VM mapping and reconciliation</w:t>
            </w:r>
          </w:p>
        </w:tc>
        <w:tc>
          <w:tcPr>
            <w:tcW w:type="dxa" w:w="936"/>
            <w:tcMar>
              <w:top w:w="80" w:type="dxa"/>
              <w:start w:w="105" w:type="dxa"/>
              <w:bottom w:w="80" w:type="dxa"/>
              <w:end w:w="105" w:type="dxa"/>
            </w:tcMar>
            <w:vAlign w:val="center"/>
          </w:tcPr>
          <w:p>
            <w:pPr>
              <w:spacing w:after="0"/>
            </w:pPr>
            <w:r>
              <w:rPr>
                <w:sz w:val="16"/>
              </w:rPr>
              <w:t>10d</w:t>
            </w:r>
          </w:p>
        </w:tc>
        <w:tc>
          <w:tcPr>
            <w:tcW w:type="dxa" w:w="2808"/>
            <w:tcMar>
              <w:top w:w="80" w:type="dxa"/>
              <w:start w:w="105" w:type="dxa"/>
              <w:bottom w:w="80" w:type="dxa"/>
              <w:end w:w="105" w:type="dxa"/>
            </w:tcMar>
            <w:vAlign w:val="center"/>
          </w:tcPr>
          <w:p>
            <w:pPr>
              <w:spacing w:after="0"/>
            </w:pPr>
            <w:r>
              <w:rPr>
                <w:sz w:val="16"/>
              </w:rPr>
              <w:t>Canonical fields, rename/missing behavior</w:t>
            </w:r>
          </w:p>
        </w:tc>
      </w:tr>
      <w:tr>
        <w:trPr>
          <w:cantSplit w:val="true"/>
        </w:trPr>
        <w:tc>
          <w:tcPr>
            <w:tcW w:type="dxa" w:w="1296"/>
            <w:tcMar>
              <w:top w:w="80" w:type="dxa"/>
              <w:start w:w="105" w:type="dxa"/>
              <w:bottom w:w="80" w:type="dxa"/>
              <w:end w:w="105" w:type="dxa"/>
            </w:tcMar>
            <w:vAlign w:val="center"/>
          </w:tcPr>
          <w:p>
            <w:pPr>
              <w:spacing w:after="0"/>
            </w:pPr>
            <w:r>
              <w:rPr>
                <w:sz w:val="16"/>
              </w:rPr>
              <w:t>IMP-0405</w:t>
            </w:r>
          </w:p>
        </w:tc>
        <w:tc>
          <w:tcPr>
            <w:tcW w:type="dxa" w:w="4320"/>
            <w:tcMar>
              <w:top w:w="80" w:type="dxa"/>
              <w:start w:w="105" w:type="dxa"/>
              <w:bottom w:w="80" w:type="dxa"/>
              <w:end w:w="105" w:type="dxa"/>
            </w:tcMar>
            <w:vAlign w:val="center"/>
          </w:tcPr>
          <w:p>
            <w:pPr>
              <w:spacing w:after="0"/>
            </w:pPr>
            <w:r>
              <w:rPr>
                <w:sz w:val="16"/>
              </w:rPr>
              <w:t>VM inventory/detail APIs and query indexes</w:t>
            </w:r>
          </w:p>
        </w:tc>
        <w:tc>
          <w:tcPr>
            <w:tcW w:type="dxa" w:w="936"/>
            <w:tcMar>
              <w:top w:w="80" w:type="dxa"/>
              <w:start w:w="105" w:type="dxa"/>
              <w:bottom w:w="80" w:type="dxa"/>
              <w:end w:w="105" w:type="dxa"/>
            </w:tcMar>
            <w:vAlign w:val="center"/>
          </w:tcPr>
          <w:p>
            <w:pPr>
              <w:spacing w:after="0"/>
            </w:pPr>
            <w:r>
              <w:rPr>
                <w:sz w:val="16"/>
              </w:rPr>
              <w:t>7d</w:t>
            </w:r>
          </w:p>
        </w:tc>
        <w:tc>
          <w:tcPr>
            <w:tcW w:type="dxa" w:w="2808"/>
            <w:tcMar>
              <w:top w:w="80" w:type="dxa"/>
              <w:start w:w="105" w:type="dxa"/>
              <w:bottom w:w="80" w:type="dxa"/>
              <w:end w:w="105" w:type="dxa"/>
            </w:tcMar>
            <w:vAlign w:val="center"/>
          </w:tcPr>
          <w:p>
            <w:pPr>
              <w:spacing w:after="0"/>
            </w:pPr>
            <w:r>
              <w:rPr>
                <w:sz w:val="16"/>
              </w:rPr>
              <w:t>Reference dataset queries</w:t>
            </w:r>
          </w:p>
        </w:tc>
      </w:tr>
      <w:tr>
        <w:trPr>
          <w:cantSplit w:val="true"/>
        </w:trPr>
        <w:tc>
          <w:tcPr>
            <w:tcW w:type="dxa" w:w="1296"/>
            <w:tcMar>
              <w:top w:w="80" w:type="dxa"/>
              <w:start w:w="105" w:type="dxa"/>
              <w:bottom w:w="80" w:type="dxa"/>
              <w:end w:w="105" w:type="dxa"/>
            </w:tcMar>
            <w:vAlign w:val="center"/>
          </w:tcPr>
          <w:p>
            <w:pPr>
              <w:spacing w:after="0"/>
            </w:pPr>
            <w:r>
              <w:rPr>
                <w:sz w:val="16"/>
              </w:rPr>
              <w:t>IMP-0406</w:t>
            </w:r>
          </w:p>
        </w:tc>
        <w:tc>
          <w:tcPr>
            <w:tcW w:type="dxa" w:w="4320"/>
            <w:tcMar>
              <w:top w:w="80" w:type="dxa"/>
              <w:start w:w="105" w:type="dxa"/>
              <w:bottom w:w="80" w:type="dxa"/>
              <w:end w:w="105" w:type="dxa"/>
            </w:tcMar>
            <w:vAlign w:val="center"/>
          </w:tcPr>
          <w:p>
            <w:pPr>
              <w:spacing w:after="0"/>
            </w:pPr>
            <w:r>
              <w:rPr>
                <w:sz w:val="16"/>
              </w:rPr>
              <w:t>Capability evaluation by VM state</w:t>
            </w:r>
          </w:p>
        </w:tc>
        <w:tc>
          <w:tcPr>
            <w:tcW w:type="dxa" w:w="936"/>
            <w:tcMar>
              <w:top w:w="80" w:type="dxa"/>
              <w:start w:w="105" w:type="dxa"/>
              <w:bottom w:w="80" w:type="dxa"/>
              <w:end w:w="105" w:type="dxa"/>
            </w:tcMar>
            <w:vAlign w:val="center"/>
          </w:tcPr>
          <w:p>
            <w:pPr>
              <w:spacing w:after="0"/>
            </w:pPr>
            <w:r>
              <w:rPr>
                <w:sz w:val="16"/>
              </w:rPr>
              <w:t>5d</w:t>
            </w:r>
          </w:p>
        </w:tc>
        <w:tc>
          <w:tcPr>
            <w:tcW w:type="dxa" w:w="2808"/>
            <w:tcMar>
              <w:top w:w="80" w:type="dxa"/>
              <w:start w:w="105" w:type="dxa"/>
              <w:bottom w:w="80" w:type="dxa"/>
              <w:end w:w="105" w:type="dxa"/>
            </w:tcMar>
            <w:vAlign w:val="center"/>
          </w:tcPr>
          <w:p>
            <w:pPr>
              <w:spacing w:after="0"/>
            </w:pPr>
            <w:r>
              <w:rPr>
                <w:sz w:val="16"/>
              </w:rPr>
              <w:t>Unsupported actions suppressed</w:t>
            </w:r>
          </w:p>
        </w:tc>
      </w:tr>
      <w:tr>
        <w:trPr>
          <w:cantSplit w:val="true"/>
        </w:trPr>
        <w:tc>
          <w:tcPr>
            <w:tcW w:type="dxa" w:w="1296"/>
            <w:tcMar>
              <w:top w:w="80" w:type="dxa"/>
              <w:start w:w="105" w:type="dxa"/>
              <w:bottom w:w="80" w:type="dxa"/>
              <w:end w:w="105" w:type="dxa"/>
            </w:tcMar>
            <w:vAlign w:val="center"/>
          </w:tcPr>
          <w:p>
            <w:pPr>
              <w:spacing w:after="0"/>
            </w:pPr>
            <w:r>
              <w:rPr>
                <w:sz w:val="16"/>
              </w:rPr>
              <w:t>IMP-0407</w:t>
            </w:r>
          </w:p>
        </w:tc>
        <w:tc>
          <w:tcPr>
            <w:tcW w:type="dxa" w:w="4320"/>
            <w:tcMar>
              <w:top w:w="80" w:type="dxa"/>
              <w:start w:w="105" w:type="dxa"/>
              <w:bottom w:w="80" w:type="dxa"/>
              <w:end w:w="105" w:type="dxa"/>
            </w:tcMar>
            <w:vAlign w:val="center"/>
          </w:tcPr>
          <w:p>
            <w:pPr>
              <w:spacing w:after="0"/>
            </w:pPr>
            <w:r>
              <w:rPr>
                <w:sz w:val="16"/>
              </w:rPr>
              <w:t>Start operation through durable task</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Verified final state and audit</w:t>
            </w:r>
          </w:p>
        </w:tc>
      </w:tr>
      <w:tr>
        <w:trPr>
          <w:cantSplit w:val="true"/>
        </w:trPr>
        <w:tc>
          <w:tcPr>
            <w:tcW w:type="dxa" w:w="1296"/>
            <w:tcMar>
              <w:top w:w="80" w:type="dxa"/>
              <w:start w:w="105" w:type="dxa"/>
              <w:bottom w:w="80" w:type="dxa"/>
              <w:end w:w="105" w:type="dxa"/>
            </w:tcMar>
            <w:vAlign w:val="center"/>
          </w:tcPr>
          <w:p>
            <w:pPr>
              <w:spacing w:after="0"/>
            </w:pPr>
            <w:r>
              <w:rPr>
                <w:sz w:val="16"/>
              </w:rPr>
              <w:t>IMP-0408</w:t>
            </w:r>
          </w:p>
        </w:tc>
        <w:tc>
          <w:tcPr>
            <w:tcW w:type="dxa" w:w="4320"/>
            <w:tcMar>
              <w:top w:w="80" w:type="dxa"/>
              <w:start w:w="105" w:type="dxa"/>
              <w:bottom w:w="80" w:type="dxa"/>
              <w:end w:w="105" w:type="dxa"/>
            </w:tcMar>
            <w:vAlign w:val="center"/>
          </w:tcPr>
          <w:p>
            <w:pPr>
              <w:spacing w:after="0"/>
            </w:pPr>
            <w:r>
              <w:rPr>
                <w:sz w:val="16"/>
              </w:rPr>
              <w:t>Stop operation through durable task</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Confirmation, timeout, verification</w:t>
            </w:r>
          </w:p>
        </w:tc>
      </w:tr>
      <w:tr>
        <w:trPr>
          <w:cantSplit w:val="true"/>
        </w:trPr>
        <w:tc>
          <w:tcPr>
            <w:tcW w:type="dxa" w:w="1296"/>
            <w:tcMar>
              <w:top w:w="80" w:type="dxa"/>
              <w:start w:w="105" w:type="dxa"/>
              <w:bottom w:w="80" w:type="dxa"/>
              <w:end w:w="105" w:type="dxa"/>
            </w:tcMar>
            <w:vAlign w:val="center"/>
          </w:tcPr>
          <w:p>
            <w:pPr>
              <w:spacing w:after="0"/>
            </w:pPr>
            <w:r>
              <w:rPr>
                <w:sz w:val="16"/>
              </w:rPr>
              <w:t>IMP-0409</w:t>
            </w:r>
          </w:p>
        </w:tc>
        <w:tc>
          <w:tcPr>
            <w:tcW w:type="dxa" w:w="4320"/>
            <w:tcMar>
              <w:top w:w="80" w:type="dxa"/>
              <w:start w:w="105" w:type="dxa"/>
              <w:bottom w:w="80" w:type="dxa"/>
              <w:end w:w="105" w:type="dxa"/>
            </w:tcMar>
            <w:vAlign w:val="center"/>
          </w:tcPr>
          <w:p>
            <w:pPr>
              <w:spacing w:after="0"/>
            </w:pPr>
            <w:r>
              <w:rPr>
                <w:sz w:val="16"/>
              </w:rPr>
              <w:t>Restart operation through durable task</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Provider semantics and final state</w:t>
            </w:r>
          </w:p>
        </w:tc>
      </w:tr>
      <w:tr>
        <w:trPr>
          <w:cantSplit w:val="true"/>
        </w:trPr>
        <w:tc>
          <w:tcPr>
            <w:tcW w:type="dxa" w:w="1296"/>
            <w:tcMar>
              <w:top w:w="80" w:type="dxa"/>
              <w:start w:w="105" w:type="dxa"/>
              <w:bottom w:w="80" w:type="dxa"/>
              <w:end w:w="105" w:type="dxa"/>
            </w:tcMar>
            <w:vAlign w:val="center"/>
          </w:tcPr>
          <w:p>
            <w:pPr>
              <w:spacing w:after="0"/>
            </w:pPr>
            <w:r>
              <w:rPr>
                <w:sz w:val="16"/>
              </w:rPr>
              <w:t>IMP-0410</w:t>
            </w:r>
          </w:p>
        </w:tc>
        <w:tc>
          <w:tcPr>
            <w:tcW w:type="dxa" w:w="4320"/>
            <w:tcMar>
              <w:top w:w="80" w:type="dxa"/>
              <w:start w:w="105" w:type="dxa"/>
              <w:bottom w:w="80" w:type="dxa"/>
              <w:end w:w="105" w:type="dxa"/>
            </w:tcMar>
            <w:vAlign w:val="center"/>
          </w:tcPr>
          <w:p>
            <w:pPr>
              <w:spacing w:after="0"/>
            </w:pPr>
            <w:r>
              <w:rPr>
                <w:sz w:val="16"/>
              </w:rPr>
              <w:t>Throttle/outage/auth/partial-discovery tests</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Fault isolation evidence</w:t>
            </w:r>
          </w:p>
        </w:tc>
      </w:tr>
      <w:tr>
        <w:trPr>
          <w:cantSplit w:val="true"/>
        </w:trPr>
        <w:tc>
          <w:tcPr>
            <w:tcW w:type="dxa" w:w="1296"/>
            <w:tcMar>
              <w:top w:w="80" w:type="dxa"/>
              <w:start w:w="105" w:type="dxa"/>
              <w:bottom w:w="80" w:type="dxa"/>
              <w:end w:w="105" w:type="dxa"/>
            </w:tcMar>
            <w:vAlign w:val="center"/>
          </w:tcPr>
          <w:p>
            <w:pPr>
              <w:spacing w:after="0"/>
            </w:pPr>
            <w:r>
              <w:rPr>
                <w:sz w:val="16"/>
              </w:rPr>
              <w:t>IMP-0411</w:t>
            </w:r>
          </w:p>
        </w:tc>
        <w:tc>
          <w:tcPr>
            <w:tcW w:type="dxa" w:w="4320"/>
            <w:tcMar>
              <w:top w:w="80" w:type="dxa"/>
              <w:start w:w="105" w:type="dxa"/>
              <w:bottom w:w="80" w:type="dxa"/>
              <w:end w:w="105" w:type="dxa"/>
            </w:tcMar>
            <w:vAlign w:val="center"/>
          </w:tcPr>
          <w:p>
            <w:pPr>
              <w:spacing w:after="0"/>
            </w:pPr>
            <w:r>
              <w:rPr>
                <w:sz w:val="16"/>
              </w:rPr>
              <w:t>VMware setup and troubleshooting guide</w:t>
            </w:r>
          </w:p>
        </w:tc>
        <w:tc>
          <w:tcPr>
            <w:tcW w:type="dxa" w:w="936"/>
            <w:tcMar>
              <w:top w:w="80" w:type="dxa"/>
              <w:start w:w="105" w:type="dxa"/>
              <w:bottom w:w="80" w:type="dxa"/>
              <w:end w:w="105" w:type="dxa"/>
            </w:tcMar>
            <w:vAlign w:val="center"/>
          </w:tcPr>
          <w:p>
            <w:pPr>
              <w:spacing w:after="0"/>
            </w:pPr>
            <w:r>
              <w:rPr>
                <w:sz w:val="16"/>
              </w:rPr>
              <w:t>4d</w:t>
            </w:r>
          </w:p>
        </w:tc>
        <w:tc>
          <w:tcPr>
            <w:tcW w:type="dxa" w:w="2808"/>
            <w:tcMar>
              <w:top w:w="80" w:type="dxa"/>
              <w:start w:w="105" w:type="dxa"/>
              <w:bottom w:w="80" w:type="dxa"/>
              <w:end w:w="105" w:type="dxa"/>
            </w:tcMar>
            <w:vAlign w:val="center"/>
          </w:tcPr>
          <w:p>
            <w:pPr>
              <w:spacing w:after="0"/>
            </w:pPr>
            <w:r>
              <w:rPr>
                <w:sz w:val="16"/>
              </w:rPr>
              <w:t>Clean administrator validation</w:t>
            </w:r>
          </w:p>
        </w:tc>
      </w:tr>
    </w:tbl>
    <w:p>
      <w:pPr>
        <w:spacing w:after="20"/>
      </w:pPr>
    </w:p>
    <w:p>
      <w:pPr>
        <w:pStyle w:val="Heading2"/>
        <w:keepNext/>
      </w:pPr>
      <w:r>
        <w:t>13.1 Vertical-slice demonstration</w:t>
      </w:r>
    </w:p>
    <w:p>
      <w:pPr>
        <w:pStyle w:val="ListNumber"/>
      </w:pPr>
      <w:r>
        <w:t>Administrator logs in and registers a vCenter connection.</w:t>
      </w:r>
    </w:p>
    <w:p>
      <w:pPr>
        <w:pStyle w:val="ListNumber"/>
      </w:pPr>
      <w:r>
        <w:t>Connection test succeeds and secret is never returned.</w:t>
      </w:r>
    </w:p>
    <w:p>
      <w:pPr>
        <w:pStyle w:val="ListNumber"/>
      </w:pPr>
      <w:r>
        <w:t>Discovery creates a durable task and populates hierarchy and VM inventory.</w:t>
      </w:r>
    </w:p>
    <w:p>
      <w:pPr>
        <w:pStyle w:val="ListNumber"/>
      </w:pPr>
      <w:r>
        <w:t>Operator filters inventory and opens VM detail/capabilities.</w:t>
      </w:r>
    </w:p>
    <w:p>
      <w:pPr>
        <w:pStyle w:val="ListNumber"/>
      </w:pPr>
      <w:r>
        <w:t>Operator confirms start, stop, and restart actions.</w:t>
      </w:r>
    </w:p>
    <w:p>
      <w:pPr>
        <w:pStyle w:val="ListNumber"/>
      </w:pPr>
      <w:r>
        <w:t>Each operation continues after browser closure, verifies provider state, and produces audit history.</w:t>
      </w:r>
    </w:p>
    <w:p>
      <w:pPr>
        <w:pStyle w:val="ListNumber"/>
      </w:pPr>
      <w:r>
        <w:t>Connection outage degrades VMware only and yields correlated diagnostics.</w:t>
      </w:r>
    </w:p>
    <w:p>
      <w:pPr>
        <w:pStyle w:val="Heading1"/>
        <w:keepNext/>
      </w:pPr>
      <w:r>
        <w:t>14. M5 — Unified Enterprise UI</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296"/>
            <w:shd w:fill="17365D"/>
            <w:tcMar>
              <w:top w:w="80" w:type="dxa"/>
              <w:start w:w="105" w:type="dxa"/>
              <w:bottom w:w="80" w:type="dxa"/>
              <w:end w:w="105" w:type="dxa"/>
            </w:tcMar>
          </w:tcPr>
          <w:p>
            <w:r>
              <w:rPr>
                <w:b/>
                <w:color w:val="FFFFFF"/>
                <w:sz w:val="16"/>
              </w:rPr>
              <w:t>Backlog ID</w:t>
            </w:r>
          </w:p>
        </w:tc>
        <w:tc>
          <w:tcPr>
            <w:tcW w:type="dxa" w:w="4392"/>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2736"/>
            <w:shd w:fill="17365D"/>
            <w:tcMar>
              <w:top w:w="80" w:type="dxa"/>
              <w:start w:w="105" w:type="dxa"/>
              <w:bottom w:w="80" w:type="dxa"/>
              <w:end w:w="105" w:type="dxa"/>
            </w:tcMar>
          </w:tcPr>
          <w:p>
            <w:r>
              <w:rPr>
                <w:b/>
                <w:color w:val="FFFFFF"/>
                <w:sz w:val="16"/>
              </w:rPr>
              <w:t>Key quality</w:t>
            </w:r>
          </w:p>
        </w:tc>
      </w:tr>
      <w:tr>
        <w:trPr>
          <w:cantSplit w:val="true"/>
        </w:trPr>
        <w:tc>
          <w:tcPr>
            <w:tcW w:type="dxa" w:w="1296"/>
            <w:tcMar>
              <w:top w:w="80" w:type="dxa"/>
              <w:start w:w="105" w:type="dxa"/>
              <w:bottom w:w="80" w:type="dxa"/>
              <w:end w:w="105" w:type="dxa"/>
            </w:tcMar>
            <w:vAlign w:val="center"/>
          </w:tcPr>
          <w:p>
            <w:pPr>
              <w:spacing w:after="0"/>
            </w:pPr>
            <w:r>
              <w:rPr>
                <w:sz w:val="16"/>
              </w:rPr>
              <w:t>IMP-0501</w:t>
            </w:r>
          </w:p>
        </w:tc>
        <w:tc>
          <w:tcPr>
            <w:tcW w:type="dxa" w:w="4392"/>
            <w:tcMar>
              <w:top w:w="80" w:type="dxa"/>
              <w:start w:w="105" w:type="dxa"/>
              <w:bottom w:w="80" w:type="dxa"/>
              <w:end w:w="105" w:type="dxa"/>
            </w:tcMar>
            <w:vAlign w:val="center"/>
          </w:tcPr>
          <w:p>
            <w:pPr>
              <w:spacing w:after="0"/>
            </w:pPr>
            <w:r>
              <w:rPr>
                <w:sz w:val="16"/>
              </w:rPr>
              <w:t>UI design tokens, navigation shell, light/dark modes</w:t>
            </w:r>
          </w:p>
        </w:tc>
        <w:tc>
          <w:tcPr>
            <w:tcW w:type="dxa" w:w="936"/>
            <w:tcMar>
              <w:top w:w="80" w:type="dxa"/>
              <w:start w:w="105" w:type="dxa"/>
              <w:bottom w:w="80" w:type="dxa"/>
              <w:end w:w="105" w:type="dxa"/>
            </w:tcMar>
            <w:vAlign w:val="center"/>
          </w:tcPr>
          <w:p>
            <w:pPr>
              <w:spacing w:after="0"/>
            </w:pPr>
            <w:r>
              <w:rPr>
                <w:sz w:val="16"/>
              </w:rPr>
              <w:t>8d</w:t>
            </w:r>
          </w:p>
        </w:tc>
        <w:tc>
          <w:tcPr>
            <w:tcW w:type="dxa" w:w="2736"/>
            <w:tcMar>
              <w:top w:w="80" w:type="dxa"/>
              <w:start w:w="105" w:type="dxa"/>
              <w:bottom w:w="80" w:type="dxa"/>
              <w:end w:w="105" w:type="dxa"/>
            </w:tcMar>
            <w:vAlign w:val="center"/>
          </w:tcPr>
          <w:p>
            <w:pPr>
              <w:spacing w:after="0"/>
            </w:pPr>
            <w:r>
              <w:rPr>
                <w:sz w:val="16"/>
              </w:rPr>
              <w:t>1366×768 through 2560×1440</w:t>
            </w:r>
          </w:p>
        </w:tc>
      </w:tr>
      <w:tr>
        <w:trPr>
          <w:cantSplit w:val="true"/>
        </w:trPr>
        <w:tc>
          <w:tcPr>
            <w:tcW w:type="dxa" w:w="1296"/>
            <w:tcMar>
              <w:top w:w="80" w:type="dxa"/>
              <w:start w:w="105" w:type="dxa"/>
              <w:bottom w:w="80" w:type="dxa"/>
              <w:end w:w="105" w:type="dxa"/>
            </w:tcMar>
            <w:vAlign w:val="center"/>
          </w:tcPr>
          <w:p>
            <w:pPr>
              <w:spacing w:after="0"/>
            </w:pPr>
            <w:r>
              <w:rPr>
                <w:sz w:val="16"/>
              </w:rPr>
              <w:t>IMP-0502</w:t>
            </w:r>
          </w:p>
        </w:tc>
        <w:tc>
          <w:tcPr>
            <w:tcW w:type="dxa" w:w="4392"/>
            <w:tcMar>
              <w:top w:w="80" w:type="dxa"/>
              <w:start w:w="105" w:type="dxa"/>
              <w:bottom w:w="80" w:type="dxa"/>
              <w:end w:w="105" w:type="dxa"/>
            </w:tcMar>
            <w:vAlign w:val="center"/>
          </w:tcPr>
          <w:p>
            <w:pPr>
              <w:spacing w:after="0"/>
            </w:pPr>
            <w:r>
              <w:rPr>
                <w:sz w:val="16"/>
              </w:rPr>
              <w:t>Authentication/session/error/loading foundation</w:t>
            </w:r>
          </w:p>
        </w:tc>
        <w:tc>
          <w:tcPr>
            <w:tcW w:type="dxa" w:w="936"/>
            <w:tcMar>
              <w:top w:w="80" w:type="dxa"/>
              <w:start w:w="105" w:type="dxa"/>
              <w:bottom w:w="80" w:type="dxa"/>
              <w:end w:w="105" w:type="dxa"/>
            </w:tcMar>
            <w:vAlign w:val="center"/>
          </w:tcPr>
          <w:p>
            <w:pPr>
              <w:spacing w:after="0"/>
            </w:pPr>
            <w:r>
              <w:rPr>
                <w:sz w:val="16"/>
              </w:rPr>
              <w:t>6d</w:t>
            </w:r>
          </w:p>
        </w:tc>
        <w:tc>
          <w:tcPr>
            <w:tcW w:type="dxa" w:w="2736"/>
            <w:tcMar>
              <w:top w:w="80" w:type="dxa"/>
              <w:start w:w="105" w:type="dxa"/>
              <w:bottom w:w="80" w:type="dxa"/>
              <w:end w:w="105" w:type="dxa"/>
            </w:tcMar>
            <w:vAlign w:val="center"/>
          </w:tcPr>
          <w:p>
            <w:pPr>
              <w:spacing w:after="0"/>
            </w:pPr>
            <w:r>
              <w:rPr>
                <w:sz w:val="16"/>
              </w:rPr>
              <w:t>Accessible and secure states</w:t>
            </w:r>
          </w:p>
        </w:tc>
      </w:tr>
      <w:tr>
        <w:trPr>
          <w:cantSplit w:val="true"/>
        </w:trPr>
        <w:tc>
          <w:tcPr>
            <w:tcW w:type="dxa" w:w="1296"/>
            <w:tcMar>
              <w:top w:w="80" w:type="dxa"/>
              <w:start w:w="105" w:type="dxa"/>
              <w:bottom w:w="80" w:type="dxa"/>
              <w:end w:w="105" w:type="dxa"/>
            </w:tcMar>
            <w:vAlign w:val="center"/>
          </w:tcPr>
          <w:p>
            <w:pPr>
              <w:spacing w:after="0"/>
            </w:pPr>
            <w:r>
              <w:rPr>
                <w:sz w:val="16"/>
              </w:rPr>
              <w:t>IMP-0503</w:t>
            </w:r>
          </w:p>
        </w:tc>
        <w:tc>
          <w:tcPr>
            <w:tcW w:type="dxa" w:w="4392"/>
            <w:tcMar>
              <w:top w:w="80" w:type="dxa"/>
              <w:start w:w="105" w:type="dxa"/>
              <w:bottom w:w="80" w:type="dxa"/>
              <w:end w:w="105" w:type="dxa"/>
            </w:tcMar>
            <w:vAlign w:val="center"/>
          </w:tcPr>
          <w:p>
            <w:pPr>
              <w:spacing w:after="0"/>
            </w:pPr>
            <w:r>
              <w:rPr>
                <w:sz w:val="16"/>
              </w:rPr>
              <w:t>Dashboard cards, provider distribution, recent activity</w:t>
            </w:r>
          </w:p>
        </w:tc>
        <w:tc>
          <w:tcPr>
            <w:tcW w:type="dxa" w:w="936"/>
            <w:tcMar>
              <w:top w:w="80" w:type="dxa"/>
              <w:start w:w="105" w:type="dxa"/>
              <w:bottom w:w="80" w:type="dxa"/>
              <w:end w:w="105" w:type="dxa"/>
            </w:tcMar>
            <w:vAlign w:val="center"/>
          </w:tcPr>
          <w:p>
            <w:pPr>
              <w:spacing w:after="0"/>
            </w:pPr>
            <w:r>
              <w:rPr>
                <w:sz w:val="16"/>
              </w:rPr>
              <w:t>8d</w:t>
            </w:r>
          </w:p>
        </w:tc>
        <w:tc>
          <w:tcPr>
            <w:tcW w:type="dxa" w:w="2736"/>
            <w:tcMar>
              <w:top w:w="80" w:type="dxa"/>
              <w:start w:w="105" w:type="dxa"/>
              <w:bottom w:w="80" w:type="dxa"/>
              <w:end w:w="105" w:type="dxa"/>
            </w:tcMar>
            <w:vAlign w:val="center"/>
          </w:tcPr>
          <w:p>
            <w:pPr>
              <w:spacing w:after="0"/>
            </w:pPr>
            <w:r>
              <w:rPr>
                <w:sz w:val="16"/>
              </w:rPr>
              <w:t>Navigable and data-freshness aware</w:t>
            </w:r>
          </w:p>
        </w:tc>
      </w:tr>
      <w:tr>
        <w:trPr>
          <w:cantSplit w:val="true"/>
        </w:trPr>
        <w:tc>
          <w:tcPr>
            <w:tcW w:type="dxa" w:w="1296"/>
            <w:tcMar>
              <w:top w:w="80" w:type="dxa"/>
              <w:start w:w="105" w:type="dxa"/>
              <w:bottom w:w="80" w:type="dxa"/>
              <w:end w:w="105" w:type="dxa"/>
            </w:tcMar>
            <w:vAlign w:val="center"/>
          </w:tcPr>
          <w:p>
            <w:pPr>
              <w:spacing w:after="0"/>
            </w:pPr>
            <w:r>
              <w:rPr>
                <w:sz w:val="16"/>
              </w:rPr>
              <w:t>IMP-0504</w:t>
            </w:r>
          </w:p>
        </w:tc>
        <w:tc>
          <w:tcPr>
            <w:tcW w:type="dxa" w:w="4392"/>
            <w:tcMar>
              <w:top w:w="80" w:type="dxa"/>
              <w:start w:w="105" w:type="dxa"/>
              <w:bottom w:w="80" w:type="dxa"/>
              <w:end w:w="105" w:type="dxa"/>
            </w:tcMar>
            <w:vAlign w:val="center"/>
          </w:tcPr>
          <w:p>
            <w:pPr>
              <w:spacing w:after="0"/>
            </w:pPr>
            <w:r>
              <w:rPr>
                <w:sz w:val="16"/>
              </w:rPr>
              <w:t>Unified VM inventory table</w:t>
            </w:r>
          </w:p>
        </w:tc>
        <w:tc>
          <w:tcPr>
            <w:tcW w:type="dxa" w:w="936"/>
            <w:tcMar>
              <w:top w:w="80" w:type="dxa"/>
              <w:start w:w="105" w:type="dxa"/>
              <w:bottom w:w="80" w:type="dxa"/>
              <w:end w:w="105" w:type="dxa"/>
            </w:tcMar>
            <w:vAlign w:val="center"/>
          </w:tcPr>
          <w:p>
            <w:pPr>
              <w:spacing w:after="0"/>
            </w:pPr>
            <w:r>
              <w:rPr>
                <w:sz w:val="16"/>
              </w:rPr>
              <w:t>12d</w:t>
            </w:r>
          </w:p>
        </w:tc>
        <w:tc>
          <w:tcPr>
            <w:tcW w:type="dxa" w:w="2736"/>
            <w:tcMar>
              <w:top w:w="80" w:type="dxa"/>
              <w:start w:w="105" w:type="dxa"/>
              <w:bottom w:w="80" w:type="dxa"/>
              <w:end w:w="105" w:type="dxa"/>
            </w:tcMar>
            <w:vAlign w:val="center"/>
          </w:tcPr>
          <w:p>
            <w:pPr>
              <w:spacing w:after="0"/>
            </w:pPr>
            <w:r>
              <w:rPr>
                <w:sz w:val="16"/>
              </w:rPr>
              <w:t>Search/filter/sort/page/columns</w:t>
            </w:r>
          </w:p>
        </w:tc>
      </w:tr>
      <w:tr>
        <w:trPr>
          <w:cantSplit w:val="true"/>
        </w:trPr>
        <w:tc>
          <w:tcPr>
            <w:tcW w:type="dxa" w:w="1296"/>
            <w:tcMar>
              <w:top w:w="80" w:type="dxa"/>
              <w:start w:w="105" w:type="dxa"/>
              <w:bottom w:w="80" w:type="dxa"/>
              <w:end w:w="105" w:type="dxa"/>
            </w:tcMar>
            <w:vAlign w:val="center"/>
          </w:tcPr>
          <w:p>
            <w:pPr>
              <w:spacing w:after="0"/>
            </w:pPr>
            <w:r>
              <w:rPr>
                <w:sz w:val="16"/>
              </w:rPr>
              <w:t>IMP-0505</w:t>
            </w:r>
          </w:p>
        </w:tc>
        <w:tc>
          <w:tcPr>
            <w:tcW w:type="dxa" w:w="4392"/>
            <w:tcMar>
              <w:top w:w="80" w:type="dxa"/>
              <w:start w:w="105" w:type="dxa"/>
              <w:bottom w:w="80" w:type="dxa"/>
              <w:end w:w="105" w:type="dxa"/>
            </w:tcMar>
            <w:vAlign w:val="center"/>
          </w:tcPr>
          <w:p>
            <w:pPr>
              <w:spacing w:after="0"/>
            </w:pPr>
            <w:r>
              <w:rPr>
                <w:sz w:val="16"/>
              </w:rPr>
              <w:t>Provider-aware infrastructure tree</w:t>
            </w:r>
          </w:p>
        </w:tc>
        <w:tc>
          <w:tcPr>
            <w:tcW w:type="dxa" w:w="936"/>
            <w:tcMar>
              <w:top w:w="80" w:type="dxa"/>
              <w:start w:w="105" w:type="dxa"/>
              <w:bottom w:w="80" w:type="dxa"/>
              <w:end w:w="105" w:type="dxa"/>
            </w:tcMar>
            <w:vAlign w:val="center"/>
          </w:tcPr>
          <w:p>
            <w:pPr>
              <w:spacing w:after="0"/>
            </w:pPr>
            <w:r>
              <w:rPr>
                <w:sz w:val="16"/>
              </w:rPr>
              <w:t>10d</w:t>
            </w:r>
          </w:p>
        </w:tc>
        <w:tc>
          <w:tcPr>
            <w:tcW w:type="dxa" w:w="2736"/>
            <w:tcMar>
              <w:top w:w="80" w:type="dxa"/>
              <w:start w:w="105" w:type="dxa"/>
              <w:bottom w:w="80" w:type="dxa"/>
              <w:end w:w="105" w:type="dxa"/>
            </w:tcMar>
            <w:vAlign w:val="center"/>
          </w:tcPr>
          <w:p>
            <w:pPr>
              <w:spacing w:after="0"/>
            </w:pPr>
            <w:r>
              <w:rPr>
                <w:sz w:val="16"/>
              </w:rPr>
              <w:t>Lazy navigation and contextual filtering</w:t>
            </w:r>
          </w:p>
        </w:tc>
      </w:tr>
      <w:tr>
        <w:trPr>
          <w:cantSplit w:val="true"/>
        </w:trPr>
        <w:tc>
          <w:tcPr>
            <w:tcW w:type="dxa" w:w="1296"/>
            <w:tcMar>
              <w:top w:w="80" w:type="dxa"/>
              <w:start w:w="105" w:type="dxa"/>
              <w:bottom w:w="80" w:type="dxa"/>
              <w:end w:w="105" w:type="dxa"/>
            </w:tcMar>
            <w:vAlign w:val="center"/>
          </w:tcPr>
          <w:p>
            <w:pPr>
              <w:spacing w:after="0"/>
            </w:pPr>
            <w:r>
              <w:rPr>
                <w:sz w:val="16"/>
              </w:rPr>
              <w:t>IMP-0506</w:t>
            </w:r>
          </w:p>
        </w:tc>
        <w:tc>
          <w:tcPr>
            <w:tcW w:type="dxa" w:w="4392"/>
            <w:tcMar>
              <w:top w:w="80" w:type="dxa"/>
              <w:start w:w="105" w:type="dxa"/>
              <w:bottom w:w="80" w:type="dxa"/>
              <w:end w:w="105" w:type="dxa"/>
            </w:tcMar>
            <w:vAlign w:val="center"/>
          </w:tcPr>
          <w:p>
            <w:pPr>
              <w:spacing w:after="0"/>
            </w:pPr>
            <w:r>
              <w:rPr>
                <w:sz w:val="16"/>
              </w:rPr>
              <w:t>VM detail workspace and tabs</w:t>
            </w:r>
          </w:p>
        </w:tc>
        <w:tc>
          <w:tcPr>
            <w:tcW w:type="dxa" w:w="936"/>
            <w:tcMar>
              <w:top w:w="80" w:type="dxa"/>
              <w:start w:w="105" w:type="dxa"/>
              <w:bottom w:w="80" w:type="dxa"/>
              <w:end w:w="105" w:type="dxa"/>
            </w:tcMar>
            <w:vAlign w:val="center"/>
          </w:tcPr>
          <w:p>
            <w:pPr>
              <w:spacing w:after="0"/>
            </w:pPr>
            <w:r>
              <w:rPr>
                <w:sz w:val="16"/>
              </w:rPr>
              <w:t>10d</w:t>
            </w:r>
          </w:p>
        </w:tc>
        <w:tc>
          <w:tcPr>
            <w:tcW w:type="dxa" w:w="2736"/>
            <w:tcMar>
              <w:top w:w="80" w:type="dxa"/>
              <w:start w:w="105" w:type="dxa"/>
              <w:bottom w:w="80" w:type="dxa"/>
              <w:end w:w="105" w:type="dxa"/>
            </w:tcMar>
            <w:vAlign w:val="center"/>
          </w:tcPr>
          <w:p>
            <w:pPr>
              <w:spacing w:after="0"/>
            </w:pPr>
            <w:r>
              <w:rPr>
                <w:sz w:val="16"/>
              </w:rPr>
              <w:t>Responsive dense enterprise layout</w:t>
            </w:r>
          </w:p>
        </w:tc>
      </w:tr>
      <w:tr>
        <w:trPr>
          <w:cantSplit w:val="true"/>
        </w:trPr>
        <w:tc>
          <w:tcPr>
            <w:tcW w:type="dxa" w:w="1296"/>
            <w:tcMar>
              <w:top w:w="80" w:type="dxa"/>
              <w:start w:w="105" w:type="dxa"/>
              <w:bottom w:w="80" w:type="dxa"/>
              <w:end w:w="105" w:type="dxa"/>
            </w:tcMar>
            <w:vAlign w:val="center"/>
          </w:tcPr>
          <w:p>
            <w:pPr>
              <w:spacing w:after="0"/>
            </w:pPr>
            <w:r>
              <w:rPr>
                <w:sz w:val="16"/>
              </w:rPr>
              <w:t>IMP-0507</w:t>
            </w:r>
          </w:p>
        </w:tc>
        <w:tc>
          <w:tcPr>
            <w:tcW w:type="dxa" w:w="4392"/>
            <w:tcMar>
              <w:top w:w="80" w:type="dxa"/>
              <w:start w:w="105" w:type="dxa"/>
              <w:bottom w:w="80" w:type="dxa"/>
              <w:end w:w="105" w:type="dxa"/>
            </w:tcMar>
            <w:vAlign w:val="center"/>
          </w:tcPr>
          <w:p>
            <w:pPr>
              <w:spacing w:after="0"/>
            </w:pPr>
            <w:r>
              <w:rPr>
                <w:sz w:val="16"/>
              </w:rPr>
              <w:t>State-aware actions, confirmation, task progress</w:t>
            </w:r>
          </w:p>
        </w:tc>
        <w:tc>
          <w:tcPr>
            <w:tcW w:type="dxa" w:w="936"/>
            <w:tcMar>
              <w:top w:w="80" w:type="dxa"/>
              <w:start w:w="105" w:type="dxa"/>
              <w:bottom w:w="80" w:type="dxa"/>
              <w:end w:w="105" w:type="dxa"/>
            </w:tcMar>
            <w:vAlign w:val="center"/>
          </w:tcPr>
          <w:p>
            <w:pPr>
              <w:spacing w:after="0"/>
            </w:pPr>
            <w:r>
              <w:rPr>
                <w:sz w:val="16"/>
              </w:rPr>
              <w:t>8d</w:t>
            </w:r>
          </w:p>
        </w:tc>
        <w:tc>
          <w:tcPr>
            <w:tcW w:type="dxa" w:w="2736"/>
            <w:tcMar>
              <w:top w:w="80" w:type="dxa"/>
              <w:start w:w="105" w:type="dxa"/>
              <w:bottom w:w="80" w:type="dxa"/>
              <w:end w:w="105" w:type="dxa"/>
            </w:tcMar>
            <w:vAlign w:val="center"/>
          </w:tcPr>
          <w:p>
            <w:pPr>
              <w:spacing w:after="0"/>
            </w:pPr>
            <w:r>
              <w:rPr>
                <w:sz w:val="16"/>
              </w:rPr>
              <w:t>No color-only state; failure recovery</w:t>
            </w:r>
          </w:p>
        </w:tc>
      </w:tr>
      <w:tr>
        <w:trPr>
          <w:cantSplit w:val="true"/>
        </w:trPr>
        <w:tc>
          <w:tcPr>
            <w:tcW w:type="dxa" w:w="1296"/>
            <w:tcMar>
              <w:top w:w="80" w:type="dxa"/>
              <w:start w:w="105" w:type="dxa"/>
              <w:bottom w:w="80" w:type="dxa"/>
              <w:end w:w="105" w:type="dxa"/>
            </w:tcMar>
            <w:vAlign w:val="center"/>
          </w:tcPr>
          <w:p>
            <w:pPr>
              <w:spacing w:after="0"/>
            </w:pPr>
            <w:r>
              <w:rPr>
                <w:sz w:val="16"/>
              </w:rPr>
              <w:t>IMP-0508</w:t>
            </w:r>
          </w:p>
        </w:tc>
        <w:tc>
          <w:tcPr>
            <w:tcW w:type="dxa" w:w="4392"/>
            <w:tcMar>
              <w:top w:w="80" w:type="dxa"/>
              <w:start w:w="105" w:type="dxa"/>
              <w:bottom w:w="80" w:type="dxa"/>
              <w:end w:w="105" w:type="dxa"/>
            </w:tcMar>
            <w:vAlign w:val="center"/>
          </w:tcPr>
          <w:p>
            <w:pPr>
              <w:spacing w:after="0"/>
            </w:pPr>
            <w:r>
              <w:rPr>
                <w:sz w:val="16"/>
              </w:rPr>
              <w:t>Connections administration</w:t>
            </w:r>
          </w:p>
        </w:tc>
        <w:tc>
          <w:tcPr>
            <w:tcW w:type="dxa" w:w="936"/>
            <w:tcMar>
              <w:top w:w="80" w:type="dxa"/>
              <w:start w:w="105" w:type="dxa"/>
              <w:bottom w:w="80" w:type="dxa"/>
              <w:end w:w="105" w:type="dxa"/>
            </w:tcMar>
            <w:vAlign w:val="center"/>
          </w:tcPr>
          <w:p>
            <w:pPr>
              <w:spacing w:after="0"/>
            </w:pPr>
            <w:r>
              <w:rPr>
                <w:sz w:val="16"/>
              </w:rPr>
              <w:t>10d</w:t>
            </w:r>
          </w:p>
        </w:tc>
        <w:tc>
          <w:tcPr>
            <w:tcW w:type="dxa" w:w="2736"/>
            <w:tcMar>
              <w:top w:w="80" w:type="dxa"/>
              <w:start w:w="105" w:type="dxa"/>
              <w:bottom w:w="80" w:type="dxa"/>
              <w:end w:w="105" w:type="dxa"/>
            </w:tcMar>
            <w:vAlign w:val="center"/>
          </w:tcPr>
          <w:p>
            <w:pPr>
              <w:spacing w:after="0"/>
            </w:pPr>
            <w:r>
              <w:rPr>
                <w:sz w:val="16"/>
              </w:rPr>
              <w:t>Write-only credentials, test/discovery workflows</w:t>
            </w:r>
          </w:p>
        </w:tc>
      </w:tr>
      <w:tr>
        <w:trPr>
          <w:cantSplit w:val="true"/>
        </w:trPr>
        <w:tc>
          <w:tcPr>
            <w:tcW w:type="dxa" w:w="1296"/>
            <w:tcMar>
              <w:top w:w="80" w:type="dxa"/>
              <w:start w:w="105" w:type="dxa"/>
              <w:bottom w:w="80" w:type="dxa"/>
              <w:end w:w="105" w:type="dxa"/>
            </w:tcMar>
            <w:vAlign w:val="center"/>
          </w:tcPr>
          <w:p>
            <w:pPr>
              <w:spacing w:after="0"/>
            </w:pPr>
            <w:r>
              <w:rPr>
                <w:sz w:val="16"/>
              </w:rPr>
              <w:t>IMP-0509</w:t>
            </w:r>
          </w:p>
        </w:tc>
        <w:tc>
          <w:tcPr>
            <w:tcW w:type="dxa" w:w="4392"/>
            <w:tcMar>
              <w:top w:w="80" w:type="dxa"/>
              <w:start w:w="105" w:type="dxa"/>
              <w:bottom w:w="80" w:type="dxa"/>
              <w:end w:w="105" w:type="dxa"/>
            </w:tcMar>
            <w:vAlign w:val="center"/>
          </w:tcPr>
          <w:p>
            <w:pPr>
              <w:spacing w:after="0"/>
            </w:pPr>
            <w:r>
              <w:rPr>
                <w:sz w:val="16"/>
              </w:rPr>
              <w:t>Tasks, events, audit, platform health views</w:t>
            </w:r>
          </w:p>
        </w:tc>
        <w:tc>
          <w:tcPr>
            <w:tcW w:type="dxa" w:w="936"/>
            <w:tcMar>
              <w:top w:w="80" w:type="dxa"/>
              <w:start w:w="105" w:type="dxa"/>
              <w:bottom w:w="80" w:type="dxa"/>
              <w:end w:w="105" w:type="dxa"/>
            </w:tcMar>
            <w:vAlign w:val="center"/>
          </w:tcPr>
          <w:p>
            <w:pPr>
              <w:spacing w:after="0"/>
            </w:pPr>
            <w:r>
              <w:rPr>
                <w:sz w:val="16"/>
              </w:rPr>
              <w:t>12d</w:t>
            </w:r>
          </w:p>
        </w:tc>
        <w:tc>
          <w:tcPr>
            <w:tcW w:type="dxa" w:w="2736"/>
            <w:tcMar>
              <w:top w:w="80" w:type="dxa"/>
              <w:start w:w="105" w:type="dxa"/>
              <w:bottom w:w="80" w:type="dxa"/>
              <w:end w:w="105" w:type="dxa"/>
            </w:tcMar>
            <w:vAlign w:val="center"/>
          </w:tcPr>
          <w:p>
            <w:pPr>
              <w:spacing w:after="0"/>
            </w:pPr>
            <w:r>
              <w:rPr>
                <w:sz w:val="16"/>
              </w:rPr>
              <w:t>Permission-aware, correlated drilldown</w:t>
            </w:r>
          </w:p>
        </w:tc>
      </w:tr>
      <w:tr>
        <w:trPr>
          <w:cantSplit w:val="true"/>
        </w:trPr>
        <w:tc>
          <w:tcPr>
            <w:tcW w:type="dxa" w:w="1296"/>
            <w:tcMar>
              <w:top w:w="80" w:type="dxa"/>
              <w:start w:w="105" w:type="dxa"/>
              <w:bottom w:w="80" w:type="dxa"/>
              <w:end w:w="105" w:type="dxa"/>
            </w:tcMar>
            <w:vAlign w:val="center"/>
          </w:tcPr>
          <w:p>
            <w:pPr>
              <w:spacing w:after="0"/>
            </w:pPr>
            <w:r>
              <w:rPr>
                <w:sz w:val="16"/>
              </w:rPr>
              <w:t>IMP-0510</w:t>
            </w:r>
          </w:p>
        </w:tc>
        <w:tc>
          <w:tcPr>
            <w:tcW w:type="dxa" w:w="4392"/>
            <w:tcMar>
              <w:top w:w="80" w:type="dxa"/>
              <w:start w:w="105" w:type="dxa"/>
              <w:bottom w:w="80" w:type="dxa"/>
              <w:end w:w="105" w:type="dxa"/>
            </w:tcMar>
            <w:vAlign w:val="center"/>
          </w:tcPr>
          <w:p>
            <w:pPr>
              <w:spacing w:after="0"/>
            </w:pPr>
            <w:r>
              <w:rPr>
                <w:sz w:val="16"/>
              </w:rPr>
              <w:t>Users/roles/settings administration</w:t>
            </w:r>
          </w:p>
        </w:tc>
        <w:tc>
          <w:tcPr>
            <w:tcW w:type="dxa" w:w="936"/>
            <w:tcMar>
              <w:top w:w="80" w:type="dxa"/>
              <w:start w:w="105" w:type="dxa"/>
              <w:bottom w:w="80" w:type="dxa"/>
              <w:end w:w="105" w:type="dxa"/>
            </w:tcMar>
            <w:vAlign w:val="center"/>
          </w:tcPr>
          <w:p>
            <w:pPr>
              <w:spacing w:after="0"/>
            </w:pPr>
            <w:r>
              <w:rPr>
                <w:sz w:val="16"/>
              </w:rPr>
              <w:t>8d</w:t>
            </w:r>
          </w:p>
        </w:tc>
        <w:tc>
          <w:tcPr>
            <w:tcW w:type="dxa" w:w="2736"/>
            <w:tcMar>
              <w:top w:w="80" w:type="dxa"/>
              <w:start w:w="105" w:type="dxa"/>
              <w:bottom w:w="80" w:type="dxa"/>
              <w:end w:w="105" w:type="dxa"/>
            </w:tcMar>
            <w:vAlign w:val="center"/>
          </w:tcPr>
          <w:p>
            <w:pPr>
              <w:spacing w:after="0"/>
            </w:pPr>
            <w:r>
              <w:rPr>
                <w:sz w:val="16"/>
              </w:rPr>
              <w:t>ETag conflicts and audit</w:t>
            </w:r>
          </w:p>
        </w:tc>
      </w:tr>
      <w:tr>
        <w:trPr>
          <w:cantSplit w:val="true"/>
        </w:trPr>
        <w:tc>
          <w:tcPr>
            <w:tcW w:type="dxa" w:w="1296"/>
            <w:tcMar>
              <w:top w:w="80" w:type="dxa"/>
              <w:start w:w="105" w:type="dxa"/>
              <w:bottom w:w="80" w:type="dxa"/>
              <w:end w:w="105" w:type="dxa"/>
            </w:tcMar>
            <w:vAlign w:val="center"/>
          </w:tcPr>
          <w:p>
            <w:pPr>
              <w:spacing w:after="0"/>
            </w:pPr>
            <w:r>
              <w:rPr>
                <w:sz w:val="16"/>
              </w:rPr>
              <w:t>IMP-0511</w:t>
            </w:r>
          </w:p>
        </w:tc>
        <w:tc>
          <w:tcPr>
            <w:tcW w:type="dxa" w:w="4392"/>
            <w:tcMar>
              <w:top w:w="80" w:type="dxa"/>
              <w:start w:w="105" w:type="dxa"/>
              <w:bottom w:w="80" w:type="dxa"/>
              <w:end w:w="105" w:type="dxa"/>
            </w:tcMar>
            <w:vAlign w:val="center"/>
          </w:tcPr>
          <w:p>
            <w:pPr>
              <w:spacing w:after="0"/>
            </w:pPr>
            <w:r>
              <w:rPr>
                <w:sz w:val="16"/>
              </w:rPr>
              <w:t>Accessibility and supported-browser suite</w:t>
            </w:r>
          </w:p>
        </w:tc>
        <w:tc>
          <w:tcPr>
            <w:tcW w:type="dxa" w:w="936"/>
            <w:tcMar>
              <w:top w:w="80" w:type="dxa"/>
              <w:start w:w="105" w:type="dxa"/>
              <w:bottom w:w="80" w:type="dxa"/>
              <w:end w:w="105" w:type="dxa"/>
            </w:tcMar>
            <w:vAlign w:val="center"/>
          </w:tcPr>
          <w:p>
            <w:pPr>
              <w:spacing w:after="0"/>
            </w:pPr>
            <w:r>
              <w:rPr>
                <w:sz w:val="16"/>
              </w:rPr>
              <w:t>7d</w:t>
            </w:r>
          </w:p>
        </w:tc>
        <w:tc>
          <w:tcPr>
            <w:tcW w:type="dxa" w:w="2736"/>
            <w:tcMar>
              <w:top w:w="80" w:type="dxa"/>
              <w:start w:w="105" w:type="dxa"/>
              <w:bottom w:w="80" w:type="dxa"/>
              <w:end w:w="105" w:type="dxa"/>
            </w:tcMar>
            <w:vAlign w:val="center"/>
          </w:tcPr>
          <w:p>
            <w:pPr>
              <w:spacing w:after="0"/>
            </w:pPr>
            <w:r>
              <w:rPr>
                <w:sz w:val="16"/>
              </w:rPr>
              <w:t>WCAG 2.1 AA core journeys</w:t>
            </w:r>
          </w:p>
        </w:tc>
      </w:tr>
      <w:tr>
        <w:trPr>
          <w:cantSplit w:val="true"/>
        </w:trPr>
        <w:tc>
          <w:tcPr>
            <w:tcW w:type="dxa" w:w="1296"/>
            <w:tcMar>
              <w:top w:w="80" w:type="dxa"/>
              <w:start w:w="105" w:type="dxa"/>
              <w:bottom w:w="80" w:type="dxa"/>
              <w:end w:w="105" w:type="dxa"/>
            </w:tcMar>
            <w:vAlign w:val="center"/>
          </w:tcPr>
          <w:p>
            <w:pPr>
              <w:spacing w:after="0"/>
            </w:pPr>
            <w:r>
              <w:rPr>
                <w:sz w:val="16"/>
              </w:rPr>
              <w:t>IMP-0512</w:t>
            </w:r>
          </w:p>
        </w:tc>
        <w:tc>
          <w:tcPr>
            <w:tcW w:type="dxa" w:w="4392"/>
            <w:tcMar>
              <w:top w:w="80" w:type="dxa"/>
              <w:start w:w="105" w:type="dxa"/>
              <w:bottom w:w="80" w:type="dxa"/>
              <w:end w:w="105" w:type="dxa"/>
            </w:tcMar>
            <w:vAlign w:val="center"/>
          </w:tcPr>
          <w:p>
            <w:pPr>
              <w:spacing w:after="0"/>
            </w:pPr>
            <w:r>
              <w:rPr>
                <w:sz w:val="16"/>
              </w:rPr>
              <w:t>Usability evaluation and refinement</w:t>
            </w:r>
          </w:p>
        </w:tc>
        <w:tc>
          <w:tcPr>
            <w:tcW w:type="dxa" w:w="936"/>
            <w:tcMar>
              <w:top w:w="80" w:type="dxa"/>
              <w:start w:w="105" w:type="dxa"/>
              <w:bottom w:w="80" w:type="dxa"/>
              <w:end w:w="105" w:type="dxa"/>
            </w:tcMar>
            <w:vAlign w:val="center"/>
          </w:tcPr>
          <w:p>
            <w:pPr>
              <w:spacing w:after="0"/>
            </w:pPr>
            <w:r>
              <w:rPr>
                <w:sz w:val="16"/>
              </w:rPr>
              <w:t>5d</w:t>
            </w:r>
          </w:p>
        </w:tc>
        <w:tc>
          <w:tcPr>
            <w:tcW w:type="dxa" w:w="2736"/>
            <w:tcMar>
              <w:top w:w="80" w:type="dxa"/>
              <w:start w:w="105" w:type="dxa"/>
              <w:bottom w:w="80" w:type="dxa"/>
              <w:end w:w="105" w:type="dxa"/>
            </w:tcMar>
            <w:vAlign w:val="center"/>
          </w:tcPr>
          <w:p>
            <w:pPr>
              <w:spacing w:after="0"/>
            </w:pPr>
            <w:r>
              <w:rPr>
                <w:sz w:val="16"/>
              </w:rPr>
              <w:t>Admin/operator task completion</w:t>
            </w:r>
          </w:p>
        </w:tc>
      </w:tr>
    </w:tbl>
    <w:p>
      <w:pPr>
        <w:spacing w:after="20"/>
      </w:pPr>
    </w:p>
    <w:p>
      <w:pPr>
        <w:pStyle w:val="Heading1"/>
        <w:keepNext/>
      </w:pPr>
      <w:r>
        <w:t>15. M6 — VMware Workstation Agent</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296"/>
            <w:shd w:fill="17365D"/>
            <w:tcMar>
              <w:top w:w="80" w:type="dxa"/>
              <w:start w:w="105" w:type="dxa"/>
              <w:bottom w:w="80" w:type="dxa"/>
              <w:end w:w="105" w:type="dxa"/>
            </w:tcMar>
          </w:tcPr>
          <w:p>
            <w:r>
              <w:rPr>
                <w:b/>
                <w:color w:val="FFFFFF"/>
                <w:sz w:val="16"/>
              </w:rPr>
              <w:t>Backlog ID</w:t>
            </w:r>
          </w:p>
        </w:tc>
        <w:tc>
          <w:tcPr>
            <w:tcW w:type="dxa" w:w="4320"/>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2808"/>
            <w:shd w:fill="17365D"/>
            <w:tcMar>
              <w:top w:w="80" w:type="dxa"/>
              <w:start w:w="105" w:type="dxa"/>
              <w:bottom w:w="80" w:type="dxa"/>
              <w:end w:w="105" w:type="dxa"/>
            </w:tcMar>
          </w:tcPr>
          <w:p>
            <w:r>
              <w:rPr>
                <w:b/>
                <w:color w:val="FFFFFF"/>
                <w:sz w:val="16"/>
              </w:rPr>
              <w:t>Acceptance</w:t>
            </w:r>
          </w:p>
        </w:tc>
      </w:tr>
      <w:tr>
        <w:trPr>
          <w:cantSplit w:val="true"/>
        </w:trPr>
        <w:tc>
          <w:tcPr>
            <w:tcW w:type="dxa" w:w="1296"/>
            <w:tcMar>
              <w:top w:w="80" w:type="dxa"/>
              <w:start w:w="105" w:type="dxa"/>
              <w:bottom w:w="80" w:type="dxa"/>
              <w:end w:w="105" w:type="dxa"/>
            </w:tcMar>
            <w:vAlign w:val="center"/>
          </w:tcPr>
          <w:p>
            <w:pPr>
              <w:spacing w:after="0"/>
            </w:pPr>
            <w:r>
              <w:rPr>
                <w:sz w:val="16"/>
              </w:rPr>
              <w:t>IMP-0601</w:t>
            </w:r>
          </w:p>
        </w:tc>
        <w:tc>
          <w:tcPr>
            <w:tcW w:type="dxa" w:w="4320"/>
            <w:tcMar>
              <w:top w:w="80" w:type="dxa"/>
              <w:start w:w="105" w:type="dxa"/>
              <w:bottom w:w="80" w:type="dxa"/>
              <w:end w:w="105" w:type="dxa"/>
            </w:tcMar>
            <w:vAlign w:val="center"/>
          </w:tcPr>
          <w:p>
            <w:pPr>
              <w:spacing w:after="0"/>
            </w:pPr>
            <w:r>
              <w:rPr>
                <w:sz w:val="16"/>
              </w:rPr>
              <w:t>Agent transport/enrollment/revocation spike</w:t>
            </w:r>
          </w:p>
        </w:tc>
        <w:tc>
          <w:tcPr>
            <w:tcW w:type="dxa" w:w="936"/>
            <w:tcMar>
              <w:top w:w="80" w:type="dxa"/>
              <w:start w:w="105" w:type="dxa"/>
              <w:bottom w:w="80" w:type="dxa"/>
              <w:end w:w="105" w:type="dxa"/>
            </w:tcMar>
            <w:vAlign w:val="center"/>
          </w:tcPr>
          <w:p>
            <w:pPr>
              <w:spacing w:after="0"/>
            </w:pPr>
            <w:r>
              <w:rPr>
                <w:sz w:val="16"/>
              </w:rPr>
              <w:t>7d</w:t>
            </w:r>
          </w:p>
        </w:tc>
        <w:tc>
          <w:tcPr>
            <w:tcW w:type="dxa" w:w="2808"/>
            <w:tcMar>
              <w:top w:w="80" w:type="dxa"/>
              <w:start w:w="105" w:type="dxa"/>
              <w:bottom w:w="80" w:type="dxa"/>
              <w:end w:w="105" w:type="dxa"/>
            </w:tcMar>
            <w:vAlign w:val="center"/>
          </w:tcPr>
          <w:p>
            <w:pPr>
              <w:spacing w:after="0"/>
            </w:pPr>
            <w:r>
              <w:rPr>
                <w:sz w:val="16"/>
              </w:rPr>
              <w:t>ADR and threat tests</w:t>
            </w:r>
          </w:p>
        </w:tc>
      </w:tr>
      <w:tr>
        <w:trPr>
          <w:cantSplit w:val="true"/>
        </w:trPr>
        <w:tc>
          <w:tcPr>
            <w:tcW w:type="dxa" w:w="1296"/>
            <w:tcMar>
              <w:top w:w="80" w:type="dxa"/>
              <w:start w:w="105" w:type="dxa"/>
              <w:bottom w:w="80" w:type="dxa"/>
              <w:end w:w="105" w:type="dxa"/>
            </w:tcMar>
            <w:vAlign w:val="center"/>
          </w:tcPr>
          <w:p>
            <w:pPr>
              <w:spacing w:after="0"/>
            </w:pPr>
            <w:r>
              <w:rPr>
                <w:sz w:val="16"/>
              </w:rPr>
              <w:t>IMP-0602</w:t>
            </w:r>
          </w:p>
        </w:tc>
        <w:tc>
          <w:tcPr>
            <w:tcW w:type="dxa" w:w="4320"/>
            <w:tcMar>
              <w:top w:w="80" w:type="dxa"/>
              <w:start w:w="105" w:type="dxa"/>
              <w:bottom w:w="80" w:type="dxa"/>
              <w:end w:w="105" w:type="dxa"/>
            </w:tcMar>
            <w:vAlign w:val="center"/>
          </w:tcPr>
          <w:p>
            <w:pPr>
              <w:spacing w:after="0"/>
            </w:pPr>
            <w:r>
              <w:rPr>
                <w:sz w:val="16"/>
              </w:rPr>
              <w:t>Agent Windows service packaging and identity</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Install/start/restart/uninstall</w:t>
            </w:r>
          </w:p>
        </w:tc>
      </w:tr>
      <w:tr>
        <w:trPr>
          <w:cantSplit w:val="true"/>
        </w:trPr>
        <w:tc>
          <w:tcPr>
            <w:tcW w:type="dxa" w:w="1296"/>
            <w:tcMar>
              <w:top w:w="80" w:type="dxa"/>
              <w:start w:w="105" w:type="dxa"/>
              <w:bottom w:w="80" w:type="dxa"/>
              <w:end w:w="105" w:type="dxa"/>
            </w:tcMar>
            <w:vAlign w:val="center"/>
          </w:tcPr>
          <w:p>
            <w:pPr>
              <w:spacing w:after="0"/>
            </w:pPr>
            <w:r>
              <w:rPr>
                <w:sz w:val="16"/>
              </w:rPr>
              <w:t>IMP-0603</w:t>
            </w:r>
          </w:p>
        </w:tc>
        <w:tc>
          <w:tcPr>
            <w:tcW w:type="dxa" w:w="4320"/>
            <w:tcMar>
              <w:top w:w="80" w:type="dxa"/>
              <w:start w:w="105" w:type="dxa"/>
              <w:bottom w:w="80" w:type="dxa"/>
              <w:end w:w="105" w:type="dxa"/>
            </w:tcMar>
            <w:vAlign w:val="center"/>
          </w:tcPr>
          <w:p>
            <w:pPr>
              <w:spacing w:after="0"/>
            </w:pPr>
            <w:r>
              <w:rPr>
                <w:sz w:val="16"/>
              </w:rPr>
              <w:t>Heartbeat, compatibility, offline health</w:t>
            </w:r>
          </w:p>
        </w:tc>
        <w:tc>
          <w:tcPr>
            <w:tcW w:type="dxa" w:w="936"/>
            <w:tcMar>
              <w:top w:w="80" w:type="dxa"/>
              <w:start w:w="105" w:type="dxa"/>
              <w:bottom w:w="80" w:type="dxa"/>
              <w:end w:w="105" w:type="dxa"/>
            </w:tcMar>
            <w:vAlign w:val="center"/>
          </w:tcPr>
          <w:p>
            <w:pPr>
              <w:spacing w:after="0"/>
            </w:pPr>
            <w:r>
              <w:rPr>
                <w:sz w:val="16"/>
              </w:rPr>
              <w:t>7d</w:t>
            </w:r>
          </w:p>
        </w:tc>
        <w:tc>
          <w:tcPr>
            <w:tcW w:type="dxa" w:w="2808"/>
            <w:tcMar>
              <w:top w:w="80" w:type="dxa"/>
              <w:start w:w="105" w:type="dxa"/>
              <w:bottom w:w="80" w:type="dxa"/>
              <w:end w:w="105" w:type="dxa"/>
            </w:tcMar>
            <w:vAlign w:val="center"/>
          </w:tcPr>
          <w:p>
            <w:pPr>
              <w:spacing w:after="0"/>
            </w:pPr>
            <w:r>
              <w:rPr>
                <w:sz w:val="16"/>
              </w:rPr>
              <w:t>Server/agent version negotiation</w:t>
            </w:r>
          </w:p>
        </w:tc>
      </w:tr>
      <w:tr>
        <w:trPr>
          <w:cantSplit w:val="true"/>
        </w:trPr>
        <w:tc>
          <w:tcPr>
            <w:tcW w:type="dxa" w:w="1296"/>
            <w:tcMar>
              <w:top w:w="80" w:type="dxa"/>
              <w:start w:w="105" w:type="dxa"/>
              <w:bottom w:w="80" w:type="dxa"/>
              <w:end w:w="105" w:type="dxa"/>
            </w:tcMar>
            <w:vAlign w:val="center"/>
          </w:tcPr>
          <w:p>
            <w:pPr>
              <w:spacing w:after="0"/>
            </w:pPr>
            <w:r>
              <w:rPr>
                <w:sz w:val="16"/>
              </w:rPr>
              <w:t>IMP-0604</w:t>
            </w:r>
          </w:p>
        </w:tc>
        <w:tc>
          <w:tcPr>
            <w:tcW w:type="dxa" w:w="4320"/>
            <w:tcMar>
              <w:top w:w="80" w:type="dxa"/>
              <w:start w:w="105" w:type="dxa"/>
              <w:bottom w:w="80" w:type="dxa"/>
              <w:end w:w="105" w:type="dxa"/>
            </w:tcMar>
            <w:vAlign w:val="center"/>
          </w:tcPr>
          <w:p>
            <w:pPr>
              <w:spacing w:after="0"/>
            </w:pPr>
            <w:r>
              <w:rPr>
                <w:sz w:val="16"/>
              </w:rPr>
              <w:t>Local Workstation VM discovery/mapping</w:t>
            </w:r>
          </w:p>
        </w:tc>
        <w:tc>
          <w:tcPr>
            <w:tcW w:type="dxa" w:w="936"/>
            <w:tcMar>
              <w:top w:w="80" w:type="dxa"/>
              <w:start w:w="105" w:type="dxa"/>
              <w:bottom w:w="80" w:type="dxa"/>
              <w:end w:w="105" w:type="dxa"/>
            </w:tcMar>
            <w:vAlign w:val="center"/>
          </w:tcPr>
          <w:p>
            <w:pPr>
              <w:spacing w:after="0"/>
            </w:pPr>
            <w:r>
              <w:rPr>
                <w:sz w:val="16"/>
              </w:rPr>
              <w:t>10d</w:t>
            </w:r>
          </w:p>
        </w:tc>
        <w:tc>
          <w:tcPr>
            <w:tcW w:type="dxa" w:w="2808"/>
            <w:tcMar>
              <w:top w:w="80" w:type="dxa"/>
              <w:start w:w="105" w:type="dxa"/>
              <w:bottom w:w="80" w:type="dxa"/>
              <w:end w:w="105" w:type="dxa"/>
            </w:tcMar>
            <w:vAlign w:val="center"/>
          </w:tcPr>
          <w:p>
            <w:pPr>
              <w:spacing w:after="0"/>
            </w:pPr>
            <w:r>
              <w:rPr>
                <w:sz w:val="16"/>
              </w:rPr>
              <w:t>Stable local identity and inventory</w:t>
            </w:r>
          </w:p>
        </w:tc>
      </w:tr>
      <w:tr>
        <w:trPr>
          <w:cantSplit w:val="true"/>
        </w:trPr>
        <w:tc>
          <w:tcPr>
            <w:tcW w:type="dxa" w:w="1296"/>
            <w:tcMar>
              <w:top w:w="80" w:type="dxa"/>
              <w:start w:w="105" w:type="dxa"/>
              <w:bottom w:w="80" w:type="dxa"/>
              <w:end w:w="105" w:type="dxa"/>
            </w:tcMar>
            <w:vAlign w:val="center"/>
          </w:tcPr>
          <w:p>
            <w:pPr>
              <w:spacing w:after="0"/>
            </w:pPr>
            <w:r>
              <w:rPr>
                <w:sz w:val="16"/>
              </w:rPr>
              <w:t>IMP-0605</w:t>
            </w:r>
          </w:p>
        </w:tc>
        <w:tc>
          <w:tcPr>
            <w:tcW w:type="dxa" w:w="4320"/>
            <w:tcMar>
              <w:top w:w="80" w:type="dxa"/>
              <w:start w:w="105" w:type="dxa"/>
              <w:bottom w:w="80" w:type="dxa"/>
              <w:end w:w="105" w:type="dxa"/>
            </w:tcMar>
            <w:vAlign w:val="center"/>
          </w:tcPr>
          <w:p>
            <w:pPr>
              <w:spacing w:after="0"/>
            </w:pPr>
            <w:r>
              <w:rPr>
                <w:sz w:val="16"/>
              </w:rPr>
              <w:t>Signed command envelope and replay ledger</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Expired/replayed/tampered rejection</w:t>
            </w:r>
          </w:p>
        </w:tc>
      </w:tr>
      <w:tr>
        <w:trPr>
          <w:cantSplit w:val="true"/>
        </w:trPr>
        <w:tc>
          <w:tcPr>
            <w:tcW w:type="dxa" w:w="1296"/>
            <w:tcMar>
              <w:top w:w="80" w:type="dxa"/>
              <w:start w:w="105" w:type="dxa"/>
              <w:bottom w:w="80" w:type="dxa"/>
              <w:end w:w="105" w:type="dxa"/>
            </w:tcMar>
            <w:vAlign w:val="center"/>
          </w:tcPr>
          <w:p>
            <w:pPr>
              <w:spacing w:after="0"/>
            </w:pPr>
            <w:r>
              <w:rPr>
                <w:sz w:val="16"/>
              </w:rPr>
              <w:t>IMP-0606</w:t>
            </w:r>
          </w:p>
        </w:tc>
        <w:tc>
          <w:tcPr>
            <w:tcW w:type="dxa" w:w="4320"/>
            <w:tcMar>
              <w:top w:w="80" w:type="dxa"/>
              <w:start w:w="105" w:type="dxa"/>
              <w:bottom w:w="80" w:type="dxa"/>
              <w:end w:w="105" w:type="dxa"/>
            </w:tcMar>
            <w:vAlign w:val="center"/>
          </w:tcPr>
          <w:p>
            <w:pPr>
              <w:spacing w:after="0"/>
            </w:pPr>
            <w:r>
              <w:rPr>
                <w:sz w:val="16"/>
              </w:rPr>
              <w:t>Start/stop/restart command execution</w:t>
            </w:r>
          </w:p>
        </w:tc>
        <w:tc>
          <w:tcPr>
            <w:tcW w:type="dxa" w:w="936"/>
            <w:tcMar>
              <w:top w:w="80" w:type="dxa"/>
              <w:start w:w="105" w:type="dxa"/>
              <w:bottom w:w="80" w:type="dxa"/>
              <w:end w:w="105" w:type="dxa"/>
            </w:tcMar>
            <w:vAlign w:val="center"/>
          </w:tcPr>
          <w:p>
            <w:pPr>
              <w:spacing w:after="0"/>
            </w:pPr>
            <w:r>
              <w:rPr>
                <w:sz w:val="16"/>
              </w:rPr>
              <w:t>10d</w:t>
            </w:r>
          </w:p>
        </w:tc>
        <w:tc>
          <w:tcPr>
            <w:tcW w:type="dxa" w:w="2808"/>
            <w:tcMar>
              <w:top w:w="80" w:type="dxa"/>
              <w:start w:w="105" w:type="dxa"/>
              <w:bottom w:w="80" w:type="dxa"/>
              <w:end w:w="105" w:type="dxa"/>
            </w:tcMar>
            <w:vAlign w:val="center"/>
          </w:tcPr>
          <w:p>
            <w:pPr>
              <w:spacing w:after="0"/>
            </w:pPr>
            <w:r>
              <w:rPr>
                <w:sz w:val="16"/>
              </w:rPr>
              <w:t>Least privilege and final state</w:t>
            </w:r>
          </w:p>
        </w:tc>
      </w:tr>
      <w:tr>
        <w:trPr>
          <w:cantSplit w:val="true"/>
        </w:trPr>
        <w:tc>
          <w:tcPr>
            <w:tcW w:type="dxa" w:w="1296"/>
            <w:tcMar>
              <w:top w:w="80" w:type="dxa"/>
              <w:start w:w="105" w:type="dxa"/>
              <w:bottom w:w="80" w:type="dxa"/>
              <w:end w:w="105" w:type="dxa"/>
            </w:tcMar>
            <w:vAlign w:val="center"/>
          </w:tcPr>
          <w:p>
            <w:pPr>
              <w:spacing w:after="0"/>
            </w:pPr>
            <w:r>
              <w:rPr>
                <w:sz w:val="16"/>
              </w:rPr>
              <w:t>IMP-0607</w:t>
            </w:r>
          </w:p>
        </w:tc>
        <w:tc>
          <w:tcPr>
            <w:tcW w:type="dxa" w:w="4320"/>
            <w:tcMar>
              <w:top w:w="80" w:type="dxa"/>
              <w:start w:w="105" w:type="dxa"/>
              <w:bottom w:w="80" w:type="dxa"/>
              <w:end w:w="105" w:type="dxa"/>
            </w:tcMar>
            <w:vAlign w:val="center"/>
          </w:tcPr>
          <w:p>
            <w:pPr>
              <w:spacing w:after="0"/>
            </w:pPr>
            <w:r>
              <w:rPr>
                <w:sz w:val="16"/>
              </w:rPr>
              <w:t>Reconnect, duplicate, crash, clock-skew tests</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Durable and safe recovery</w:t>
            </w:r>
          </w:p>
        </w:tc>
      </w:tr>
      <w:tr>
        <w:trPr>
          <w:cantSplit w:val="true"/>
        </w:trPr>
        <w:tc>
          <w:tcPr>
            <w:tcW w:type="dxa" w:w="1296"/>
            <w:tcMar>
              <w:top w:w="80" w:type="dxa"/>
              <w:start w:w="105" w:type="dxa"/>
              <w:bottom w:w="80" w:type="dxa"/>
              <w:end w:w="105" w:type="dxa"/>
            </w:tcMar>
            <w:vAlign w:val="center"/>
          </w:tcPr>
          <w:p>
            <w:pPr>
              <w:spacing w:after="0"/>
            </w:pPr>
            <w:r>
              <w:rPr>
                <w:sz w:val="16"/>
              </w:rPr>
              <w:t>IMP-0608</w:t>
            </w:r>
          </w:p>
        </w:tc>
        <w:tc>
          <w:tcPr>
            <w:tcW w:type="dxa" w:w="4320"/>
            <w:tcMar>
              <w:top w:w="80" w:type="dxa"/>
              <w:start w:w="105" w:type="dxa"/>
              <w:bottom w:w="80" w:type="dxa"/>
              <w:end w:w="105" w:type="dxa"/>
            </w:tcMar>
            <w:vAlign w:val="center"/>
          </w:tcPr>
          <w:p>
            <w:pPr>
              <w:spacing w:after="0"/>
            </w:pPr>
            <w:r>
              <w:rPr>
                <w:sz w:val="16"/>
              </w:rPr>
              <w:t>Staged signed upgrade foundation</w:t>
            </w:r>
          </w:p>
        </w:tc>
        <w:tc>
          <w:tcPr>
            <w:tcW w:type="dxa" w:w="936"/>
            <w:tcMar>
              <w:top w:w="80" w:type="dxa"/>
              <w:start w:w="105" w:type="dxa"/>
              <w:bottom w:w="80" w:type="dxa"/>
              <w:end w:w="105" w:type="dxa"/>
            </w:tcMar>
            <w:vAlign w:val="center"/>
          </w:tcPr>
          <w:p>
            <w:pPr>
              <w:spacing w:after="0"/>
            </w:pPr>
            <w:r>
              <w:rPr>
                <w:sz w:val="16"/>
              </w:rPr>
              <w:t>7d</w:t>
            </w:r>
          </w:p>
        </w:tc>
        <w:tc>
          <w:tcPr>
            <w:tcW w:type="dxa" w:w="2808"/>
            <w:tcMar>
              <w:top w:w="80" w:type="dxa"/>
              <w:start w:w="105" w:type="dxa"/>
              <w:bottom w:w="80" w:type="dxa"/>
              <w:end w:w="105" w:type="dxa"/>
            </w:tcMar>
            <w:vAlign w:val="center"/>
          </w:tcPr>
          <w:p>
            <w:pPr>
              <w:spacing w:after="0"/>
            </w:pPr>
            <w:r>
              <w:rPr>
                <w:sz w:val="16"/>
              </w:rPr>
              <w:t>Compatibility and rollback path</w:t>
            </w:r>
          </w:p>
        </w:tc>
      </w:tr>
      <w:tr>
        <w:trPr>
          <w:cantSplit w:val="true"/>
        </w:trPr>
        <w:tc>
          <w:tcPr>
            <w:tcW w:type="dxa" w:w="1296"/>
            <w:tcMar>
              <w:top w:w="80" w:type="dxa"/>
              <w:start w:w="105" w:type="dxa"/>
              <w:bottom w:w="80" w:type="dxa"/>
              <w:end w:w="105" w:type="dxa"/>
            </w:tcMar>
            <w:vAlign w:val="center"/>
          </w:tcPr>
          <w:p>
            <w:pPr>
              <w:spacing w:after="0"/>
            </w:pPr>
            <w:r>
              <w:rPr>
                <w:sz w:val="16"/>
              </w:rPr>
              <w:t>IMP-0609</w:t>
            </w:r>
          </w:p>
        </w:tc>
        <w:tc>
          <w:tcPr>
            <w:tcW w:type="dxa" w:w="4320"/>
            <w:tcMar>
              <w:top w:w="80" w:type="dxa"/>
              <w:start w:w="105" w:type="dxa"/>
              <w:bottom w:w="80" w:type="dxa"/>
              <w:end w:w="105" w:type="dxa"/>
            </w:tcMar>
            <w:vAlign w:val="center"/>
          </w:tcPr>
          <w:p>
            <w:pPr>
              <w:spacing w:after="0"/>
            </w:pPr>
            <w:r>
              <w:rPr>
                <w:sz w:val="16"/>
              </w:rPr>
              <w:t>Agent deployment/admin troubleshooting guide</w:t>
            </w:r>
          </w:p>
        </w:tc>
        <w:tc>
          <w:tcPr>
            <w:tcW w:type="dxa" w:w="936"/>
            <w:tcMar>
              <w:top w:w="80" w:type="dxa"/>
              <w:start w:w="105" w:type="dxa"/>
              <w:bottom w:w="80" w:type="dxa"/>
              <w:end w:w="105" w:type="dxa"/>
            </w:tcMar>
            <w:vAlign w:val="center"/>
          </w:tcPr>
          <w:p>
            <w:pPr>
              <w:spacing w:after="0"/>
            </w:pPr>
            <w:r>
              <w:rPr>
                <w:sz w:val="16"/>
              </w:rPr>
              <w:t>4d</w:t>
            </w:r>
          </w:p>
        </w:tc>
        <w:tc>
          <w:tcPr>
            <w:tcW w:type="dxa" w:w="2808"/>
            <w:tcMar>
              <w:top w:w="80" w:type="dxa"/>
              <w:start w:w="105" w:type="dxa"/>
              <w:bottom w:w="80" w:type="dxa"/>
              <w:end w:w="105" w:type="dxa"/>
            </w:tcMar>
            <w:vAlign w:val="center"/>
          </w:tcPr>
          <w:p>
            <w:pPr>
              <w:spacing w:after="0"/>
            </w:pPr>
            <w:r>
              <w:rPr>
                <w:sz w:val="16"/>
              </w:rPr>
              <w:t>Clean endpoint validation</w:t>
            </w:r>
          </w:p>
        </w:tc>
      </w:tr>
    </w:tbl>
    <w:p>
      <w:pPr>
        <w:spacing w:after="20"/>
      </w:pPr>
    </w:p>
    <w:p>
      <w:pPr>
        <w:pStyle w:val="Heading1"/>
        <w:keepNext/>
      </w:pPr>
      <w:r>
        <w:t>16. M7 — AWS EC2 Adapter</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296"/>
            <w:shd w:fill="17365D"/>
            <w:tcMar>
              <w:top w:w="80" w:type="dxa"/>
              <w:start w:w="105" w:type="dxa"/>
              <w:bottom w:w="80" w:type="dxa"/>
              <w:end w:w="105" w:type="dxa"/>
            </w:tcMar>
          </w:tcPr>
          <w:p>
            <w:r>
              <w:rPr>
                <w:b/>
                <w:color w:val="FFFFFF"/>
                <w:sz w:val="16"/>
              </w:rPr>
              <w:t>Backlog ID</w:t>
            </w:r>
          </w:p>
        </w:tc>
        <w:tc>
          <w:tcPr>
            <w:tcW w:type="dxa" w:w="4320"/>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2808"/>
            <w:shd w:fill="17365D"/>
            <w:tcMar>
              <w:top w:w="80" w:type="dxa"/>
              <w:start w:w="105" w:type="dxa"/>
              <w:bottom w:w="80" w:type="dxa"/>
              <w:end w:w="105" w:type="dxa"/>
            </w:tcMar>
          </w:tcPr>
          <w:p>
            <w:r>
              <w:rPr>
                <w:b/>
                <w:color w:val="FFFFFF"/>
                <w:sz w:val="16"/>
              </w:rPr>
              <w:t>Acceptance</w:t>
            </w:r>
          </w:p>
        </w:tc>
      </w:tr>
      <w:tr>
        <w:trPr>
          <w:cantSplit w:val="true"/>
        </w:trPr>
        <w:tc>
          <w:tcPr>
            <w:tcW w:type="dxa" w:w="1296"/>
            <w:tcMar>
              <w:top w:w="80" w:type="dxa"/>
              <w:start w:w="105" w:type="dxa"/>
              <w:bottom w:w="80" w:type="dxa"/>
              <w:end w:w="105" w:type="dxa"/>
            </w:tcMar>
            <w:vAlign w:val="center"/>
          </w:tcPr>
          <w:p>
            <w:pPr>
              <w:spacing w:after="0"/>
            </w:pPr>
            <w:r>
              <w:rPr>
                <w:sz w:val="16"/>
              </w:rPr>
              <w:t>IMP-0701</w:t>
            </w:r>
          </w:p>
        </w:tc>
        <w:tc>
          <w:tcPr>
            <w:tcW w:type="dxa" w:w="4320"/>
            <w:tcMar>
              <w:top w:w="80" w:type="dxa"/>
              <w:start w:w="105" w:type="dxa"/>
              <w:bottom w:w="80" w:type="dxa"/>
              <w:end w:w="105" w:type="dxa"/>
            </w:tcMar>
            <w:vAlign w:val="center"/>
          </w:tcPr>
          <w:p>
            <w:pPr>
              <w:spacing w:after="0"/>
            </w:pPr>
            <w:r>
              <w:rPr>
                <w:sz w:val="16"/>
              </w:rPr>
              <w:t>IAM role/credential/permission spike</w:t>
            </w:r>
          </w:p>
        </w:tc>
        <w:tc>
          <w:tcPr>
            <w:tcW w:type="dxa" w:w="936"/>
            <w:tcMar>
              <w:top w:w="80" w:type="dxa"/>
              <w:start w:w="105" w:type="dxa"/>
              <w:bottom w:w="80" w:type="dxa"/>
              <w:end w:w="105" w:type="dxa"/>
            </w:tcMar>
            <w:vAlign w:val="center"/>
          </w:tcPr>
          <w:p>
            <w:pPr>
              <w:spacing w:after="0"/>
            </w:pPr>
            <w:r>
              <w:rPr>
                <w:sz w:val="16"/>
              </w:rPr>
              <w:t>5d</w:t>
            </w:r>
          </w:p>
        </w:tc>
        <w:tc>
          <w:tcPr>
            <w:tcW w:type="dxa" w:w="2808"/>
            <w:tcMar>
              <w:top w:w="80" w:type="dxa"/>
              <w:start w:w="105" w:type="dxa"/>
              <w:bottom w:w="80" w:type="dxa"/>
              <w:end w:w="105" w:type="dxa"/>
            </w:tcMar>
            <w:vAlign w:val="center"/>
          </w:tcPr>
          <w:p>
            <w:pPr>
              <w:spacing w:after="0"/>
            </w:pPr>
            <w:r>
              <w:rPr>
                <w:sz w:val="16"/>
              </w:rPr>
              <w:t>Least-privilege policy documented</w:t>
            </w:r>
          </w:p>
        </w:tc>
      </w:tr>
      <w:tr>
        <w:trPr>
          <w:cantSplit w:val="true"/>
        </w:trPr>
        <w:tc>
          <w:tcPr>
            <w:tcW w:type="dxa" w:w="1296"/>
            <w:tcMar>
              <w:top w:w="80" w:type="dxa"/>
              <w:start w:w="105" w:type="dxa"/>
              <w:bottom w:w="80" w:type="dxa"/>
              <w:end w:w="105" w:type="dxa"/>
            </w:tcMar>
            <w:vAlign w:val="center"/>
          </w:tcPr>
          <w:p>
            <w:pPr>
              <w:spacing w:after="0"/>
            </w:pPr>
            <w:r>
              <w:rPr>
                <w:sz w:val="16"/>
              </w:rPr>
              <w:t>IMP-0702</w:t>
            </w:r>
          </w:p>
        </w:tc>
        <w:tc>
          <w:tcPr>
            <w:tcW w:type="dxa" w:w="4320"/>
            <w:tcMar>
              <w:top w:w="80" w:type="dxa"/>
              <w:start w:w="105" w:type="dxa"/>
              <w:bottom w:w="80" w:type="dxa"/>
              <w:end w:w="105" w:type="dxa"/>
            </w:tcMar>
            <w:vAlign w:val="center"/>
          </w:tcPr>
          <w:p>
            <w:pPr>
              <w:spacing w:after="0"/>
            </w:pPr>
            <w:r>
              <w:rPr>
                <w:sz w:val="16"/>
              </w:rPr>
              <w:t>Account connection and regional scopes</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Temporary credentials preferred</w:t>
            </w:r>
          </w:p>
        </w:tc>
      </w:tr>
      <w:tr>
        <w:trPr>
          <w:cantSplit w:val="true"/>
        </w:trPr>
        <w:tc>
          <w:tcPr>
            <w:tcW w:type="dxa" w:w="1296"/>
            <w:tcMar>
              <w:top w:w="80" w:type="dxa"/>
              <w:start w:w="105" w:type="dxa"/>
              <w:bottom w:w="80" w:type="dxa"/>
              <w:end w:w="105" w:type="dxa"/>
            </w:tcMar>
            <w:vAlign w:val="center"/>
          </w:tcPr>
          <w:p>
            <w:pPr>
              <w:spacing w:after="0"/>
            </w:pPr>
            <w:r>
              <w:rPr>
                <w:sz w:val="16"/>
              </w:rPr>
              <w:t>IMP-0703</w:t>
            </w:r>
          </w:p>
        </w:tc>
        <w:tc>
          <w:tcPr>
            <w:tcW w:type="dxa" w:w="4320"/>
            <w:tcMar>
              <w:top w:w="80" w:type="dxa"/>
              <w:start w:w="105" w:type="dxa"/>
              <w:bottom w:w="80" w:type="dxa"/>
              <w:end w:w="105" w:type="dxa"/>
            </w:tcMar>
            <w:vAlign w:val="center"/>
          </w:tcPr>
          <w:p>
            <w:pPr>
              <w:spacing w:after="0"/>
            </w:pPr>
            <w:r>
              <w:rPr>
                <w:sz w:val="16"/>
              </w:rPr>
              <w:t>Paged multi-region discovery</w:t>
            </w:r>
          </w:p>
        </w:tc>
        <w:tc>
          <w:tcPr>
            <w:tcW w:type="dxa" w:w="936"/>
            <w:tcMar>
              <w:top w:w="80" w:type="dxa"/>
              <w:start w:w="105" w:type="dxa"/>
              <w:bottom w:w="80" w:type="dxa"/>
              <w:end w:w="105" w:type="dxa"/>
            </w:tcMar>
            <w:vAlign w:val="center"/>
          </w:tcPr>
          <w:p>
            <w:pPr>
              <w:spacing w:after="0"/>
            </w:pPr>
            <w:r>
              <w:rPr>
                <w:sz w:val="16"/>
              </w:rPr>
              <w:t>10d</w:t>
            </w:r>
          </w:p>
        </w:tc>
        <w:tc>
          <w:tcPr>
            <w:tcW w:type="dxa" w:w="2808"/>
            <w:tcMar>
              <w:top w:w="80" w:type="dxa"/>
              <w:start w:w="105" w:type="dxa"/>
              <w:bottom w:w="80" w:type="dxa"/>
              <w:end w:w="105" w:type="dxa"/>
            </w:tcMar>
            <w:vAlign w:val="center"/>
          </w:tcPr>
          <w:p>
            <w:pPr>
              <w:spacing w:after="0"/>
            </w:pPr>
            <w:r>
              <w:rPr>
                <w:sz w:val="16"/>
              </w:rPr>
              <w:t>Concurrency and checkpoints</w:t>
            </w:r>
          </w:p>
        </w:tc>
      </w:tr>
      <w:tr>
        <w:trPr>
          <w:cantSplit w:val="true"/>
        </w:trPr>
        <w:tc>
          <w:tcPr>
            <w:tcW w:type="dxa" w:w="1296"/>
            <w:tcMar>
              <w:top w:w="80" w:type="dxa"/>
              <w:start w:w="105" w:type="dxa"/>
              <w:bottom w:w="80" w:type="dxa"/>
              <w:end w:w="105" w:type="dxa"/>
            </w:tcMar>
            <w:vAlign w:val="center"/>
          </w:tcPr>
          <w:p>
            <w:pPr>
              <w:spacing w:after="0"/>
            </w:pPr>
            <w:r>
              <w:rPr>
                <w:sz w:val="16"/>
              </w:rPr>
              <w:t>IMP-0704</w:t>
            </w:r>
          </w:p>
        </w:tc>
        <w:tc>
          <w:tcPr>
            <w:tcW w:type="dxa" w:w="4320"/>
            <w:tcMar>
              <w:top w:w="80" w:type="dxa"/>
              <w:start w:w="105" w:type="dxa"/>
              <w:bottom w:w="80" w:type="dxa"/>
              <w:end w:w="105" w:type="dxa"/>
            </w:tcMar>
            <w:vAlign w:val="center"/>
          </w:tcPr>
          <w:p>
            <w:pPr>
              <w:spacing w:after="0"/>
            </w:pPr>
            <w:r>
              <w:rPr>
                <w:sz w:val="16"/>
              </w:rPr>
              <w:t>EC2 canonical mapping, tags, volumes, networking</w:t>
            </w:r>
          </w:p>
        </w:tc>
        <w:tc>
          <w:tcPr>
            <w:tcW w:type="dxa" w:w="936"/>
            <w:tcMar>
              <w:top w:w="80" w:type="dxa"/>
              <w:start w:w="105" w:type="dxa"/>
              <w:bottom w:w="80" w:type="dxa"/>
              <w:end w:w="105" w:type="dxa"/>
            </w:tcMar>
            <w:vAlign w:val="center"/>
          </w:tcPr>
          <w:p>
            <w:pPr>
              <w:spacing w:after="0"/>
            </w:pPr>
            <w:r>
              <w:rPr>
                <w:sz w:val="16"/>
              </w:rPr>
              <w:t>9d</w:t>
            </w:r>
          </w:p>
        </w:tc>
        <w:tc>
          <w:tcPr>
            <w:tcW w:type="dxa" w:w="2808"/>
            <w:tcMar>
              <w:top w:w="80" w:type="dxa"/>
              <w:start w:w="105" w:type="dxa"/>
              <w:bottom w:w="80" w:type="dxa"/>
              <w:end w:w="105" w:type="dxa"/>
            </w:tcMar>
            <w:vAlign w:val="center"/>
          </w:tcPr>
          <w:p>
            <w:pPr>
              <w:spacing w:after="0"/>
            </w:pPr>
            <w:r>
              <w:rPr>
                <w:sz w:val="16"/>
              </w:rPr>
              <w:t>Required normalized fields</w:t>
            </w:r>
          </w:p>
        </w:tc>
      </w:tr>
      <w:tr>
        <w:trPr>
          <w:cantSplit w:val="true"/>
        </w:trPr>
        <w:tc>
          <w:tcPr>
            <w:tcW w:type="dxa" w:w="1296"/>
            <w:tcMar>
              <w:top w:w="80" w:type="dxa"/>
              <w:start w:w="105" w:type="dxa"/>
              <w:bottom w:w="80" w:type="dxa"/>
              <w:end w:w="105" w:type="dxa"/>
            </w:tcMar>
            <w:vAlign w:val="center"/>
          </w:tcPr>
          <w:p>
            <w:pPr>
              <w:spacing w:after="0"/>
            </w:pPr>
            <w:r>
              <w:rPr>
                <w:sz w:val="16"/>
              </w:rPr>
              <w:t>IMP-0705</w:t>
            </w:r>
          </w:p>
        </w:tc>
        <w:tc>
          <w:tcPr>
            <w:tcW w:type="dxa" w:w="4320"/>
            <w:tcMar>
              <w:top w:w="80" w:type="dxa"/>
              <w:start w:w="105" w:type="dxa"/>
              <w:bottom w:w="80" w:type="dxa"/>
              <w:end w:w="105" w:type="dxa"/>
            </w:tcMar>
            <w:vAlign w:val="center"/>
          </w:tcPr>
          <w:p>
            <w:pPr>
              <w:spacing w:after="0"/>
            </w:pPr>
            <w:r>
              <w:rPr>
                <w:sz w:val="16"/>
              </w:rPr>
              <w:t>Start/stop/reboot task operations</w:t>
            </w:r>
          </w:p>
        </w:tc>
        <w:tc>
          <w:tcPr>
            <w:tcW w:type="dxa" w:w="936"/>
            <w:tcMar>
              <w:top w:w="80" w:type="dxa"/>
              <w:start w:w="105" w:type="dxa"/>
              <w:bottom w:w="80" w:type="dxa"/>
              <w:end w:w="105" w:type="dxa"/>
            </w:tcMar>
            <w:vAlign w:val="center"/>
          </w:tcPr>
          <w:p>
            <w:pPr>
              <w:spacing w:after="0"/>
            </w:pPr>
            <w:r>
              <w:rPr>
                <w:sz w:val="16"/>
              </w:rPr>
              <w:t>9d</w:t>
            </w:r>
          </w:p>
        </w:tc>
        <w:tc>
          <w:tcPr>
            <w:tcW w:type="dxa" w:w="2808"/>
            <w:tcMar>
              <w:top w:w="80" w:type="dxa"/>
              <w:start w:w="105" w:type="dxa"/>
              <w:bottom w:w="80" w:type="dxa"/>
              <w:end w:w="105" w:type="dxa"/>
            </w:tcMar>
            <w:vAlign w:val="center"/>
          </w:tcPr>
          <w:p>
            <w:pPr>
              <w:spacing w:after="0"/>
            </w:pPr>
            <w:r>
              <w:rPr>
                <w:sz w:val="16"/>
              </w:rPr>
              <w:t>State-aware verified outcomes</w:t>
            </w:r>
          </w:p>
        </w:tc>
      </w:tr>
      <w:tr>
        <w:trPr>
          <w:cantSplit w:val="true"/>
        </w:trPr>
        <w:tc>
          <w:tcPr>
            <w:tcW w:type="dxa" w:w="1296"/>
            <w:tcMar>
              <w:top w:w="80" w:type="dxa"/>
              <w:start w:w="105" w:type="dxa"/>
              <w:bottom w:w="80" w:type="dxa"/>
              <w:end w:w="105" w:type="dxa"/>
            </w:tcMar>
            <w:vAlign w:val="center"/>
          </w:tcPr>
          <w:p>
            <w:pPr>
              <w:spacing w:after="0"/>
            </w:pPr>
            <w:r>
              <w:rPr>
                <w:sz w:val="16"/>
              </w:rPr>
              <w:t>IMP-0706</w:t>
            </w:r>
          </w:p>
        </w:tc>
        <w:tc>
          <w:tcPr>
            <w:tcW w:type="dxa" w:w="4320"/>
            <w:tcMar>
              <w:top w:w="80" w:type="dxa"/>
              <w:start w:w="105" w:type="dxa"/>
              <w:bottom w:w="80" w:type="dxa"/>
              <w:end w:w="105" w:type="dxa"/>
            </w:tcMar>
            <w:vAlign w:val="center"/>
          </w:tcPr>
          <w:p>
            <w:pPr>
              <w:spacing w:after="0"/>
            </w:pPr>
            <w:r>
              <w:rPr>
                <w:sz w:val="16"/>
              </w:rPr>
              <w:t>Throttling/backoff/partial-region fault tests</w:t>
            </w:r>
          </w:p>
        </w:tc>
        <w:tc>
          <w:tcPr>
            <w:tcW w:type="dxa" w:w="936"/>
            <w:tcMar>
              <w:top w:w="80" w:type="dxa"/>
              <w:start w:w="105" w:type="dxa"/>
              <w:bottom w:w="80" w:type="dxa"/>
              <w:end w:w="105" w:type="dxa"/>
            </w:tcMar>
            <w:vAlign w:val="center"/>
          </w:tcPr>
          <w:p>
            <w:pPr>
              <w:spacing w:after="0"/>
            </w:pPr>
            <w:r>
              <w:rPr>
                <w:sz w:val="16"/>
              </w:rPr>
              <w:t>7d</w:t>
            </w:r>
          </w:p>
        </w:tc>
        <w:tc>
          <w:tcPr>
            <w:tcW w:type="dxa" w:w="2808"/>
            <w:tcMar>
              <w:top w:w="80" w:type="dxa"/>
              <w:start w:w="105" w:type="dxa"/>
              <w:bottom w:w="80" w:type="dxa"/>
              <w:end w:w="105" w:type="dxa"/>
            </w:tcMar>
            <w:vAlign w:val="center"/>
          </w:tcPr>
          <w:p>
            <w:pPr>
              <w:spacing w:after="0"/>
            </w:pPr>
            <w:r>
              <w:rPr>
                <w:sz w:val="16"/>
              </w:rPr>
              <w:t>Provider isolation and safe retries</w:t>
            </w:r>
          </w:p>
        </w:tc>
      </w:tr>
      <w:tr>
        <w:trPr>
          <w:cantSplit w:val="true"/>
        </w:trPr>
        <w:tc>
          <w:tcPr>
            <w:tcW w:type="dxa" w:w="1296"/>
            <w:tcMar>
              <w:top w:w="80" w:type="dxa"/>
              <w:start w:w="105" w:type="dxa"/>
              <w:bottom w:w="80" w:type="dxa"/>
              <w:end w:w="105" w:type="dxa"/>
            </w:tcMar>
            <w:vAlign w:val="center"/>
          </w:tcPr>
          <w:p>
            <w:pPr>
              <w:spacing w:after="0"/>
            </w:pPr>
            <w:r>
              <w:rPr>
                <w:sz w:val="16"/>
              </w:rPr>
              <w:t>IMP-0707</w:t>
            </w:r>
          </w:p>
        </w:tc>
        <w:tc>
          <w:tcPr>
            <w:tcW w:type="dxa" w:w="4320"/>
            <w:tcMar>
              <w:top w:w="80" w:type="dxa"/>
              <w:start w:w="105" w:type="dxa"/>
              <w:bottom w:w="80" w:type="dxa"/>
              <w:end w:w="105" w:type="dxa"/>
            </w:tcMar>
            <w:vAlign w:val="center"/>
          </w:tcPr>
          <w:p>
            <w:pPr>
              <w:spacing w:after="0"/>
            </w:pPr>
            <w:r>
              <w:rPr>
                <w:sz w:val="16"/>
              </w:rPr>
              <w:t>AWS setup/permissions/troubleshooting guide</w:t>
            </w:r>
          </w:p>
        </w:tc>
        <w:tc>
          <w:tcPr>
            <w:tcW w:type="dxa" w:w="936"/>
            <w:tcMar>
              <w:top w:w="80" w:type="dxa"/>
              <w:start w:w="105" w:type="dxa"/>
              <w:bottom w:w="80" w:type="dxa"/>
              <w:end w:w="105" w:type="dxa"/>
            </w:tcMar>
            <w:vAlign w:val="center"/>
          </w:tcPr>
          <w:p>
            <w:pPr>
              <w:spacing w:after="0"/>
            </w:pPr>
            <w:r>
              <w:rPr>
                <w:sz w:val="16"/>
              </w:rPr>
              <w:t>4d</w:t>
            </w:r>
          </w:p>
        </w:tc>
        <w:tc>
          <w:tcPr>
            <w:tcW w:type="dxa" w:w="2808"/>
            <w:tcMar>
              <w:top w:w="80" w:type="dxa"/>
              <w:start w:w="105" w:type="dxa"/>
              <w:bottom w:w="80" w:type="dxa"/>
              <w:end w:w="105" w:type="dxa"/>
            </w:tcMar>
            <w:vAlign w:val="center"/>
          </w:tcPr>
          <w:p>
            <w:pPr>
              <w:spacing w:after="0"/>
            </w:pPr>
            <w:r>
              <w:rPr>
                <w:sz w:val="16"/>
              </w:rPr>
              <w:t>Clean account validation</w:t>
            </w:r>
          </w:p>
        </w:tc>
      </w:tr>
    </w:tbl>
    <w:p>
      <w:pPr>
        <w:spacing w:after="20"/>
      </w:pPr>
    </w:p>
    <w:p>
      <w:pPr>
        <w:pStyle w:val="Heading1"/>
        <w:keepNext/>
      </w:pPr>
      <w:r>
        <w:t>17. M8 — Microsoft Azure VM Adapter</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1296"/>
            <w:shd w:fill="17365D"/>
            <w:tcMar>
              <w:top w:w="80" w:type="dxa"/>
              <w:start w:w="105" w:type="dxa"/>
              <w:bottom w:w="80" w:type="dxa"/>
              <w:end w:w="105" w:type="dxa"/>
            </w:tcMar>
          </w:tcPr>
          <w:p>
            <w:r>
              <w:rPr>
                <w:b/>
                <w:color w:val="FFFFFF"/>
                <w:sz w:val="16"/>
              </w:rPr>
              <w:t>Backlog ID</w:t>
            </w:r>
          </w:p>
        </w:tc>
        <w:tc>
          <w:tcPr>
            <w:tcW w:type="dxa" w:w="4320"/>
            <w:shd w:fill="17365D"/>
            <w:tcMar>
              <w:top w:w="80" w:type="dxa"/>
              <w:start w:w="105" w:type="dxa"/>
              <w:bottom w:w="80" w:type="dxa"/>
              <w:end w:w="105" w:type="dxa"/>
            </w:tcMar>
          </w:tcPr>
          <w:p>
            <w:r>
              <w:rPr>
                <w:b/>
                <w:color w:val="FFFFFF"/>
                <w:sz w:val="16"/>
              </w:rPr>
              <w:t>Deliverable</w:t>
            </w:r>
          </w:p>
        </w:tc>
        <w:tc>
          <w:tcPr>
            <w:tcW w:type="dxa" w:w="936"/>
            <w:shd w:fill="17365D"/>
            <w:tcMar>
              <w:top w:w="80" w:type="dxa"/>
              <w:start w:w="105" w:type="dxa"/>
              <w:bottom w:w="80" w:type="dxa"/>
              <w:end w:w="105" w:type="dxa"/>
            </w:tcMar>
          </w:tcPr>
          <w:p>
            <w:r>
              <w:rPr>
                <w:b/>
                <w:color w:val="FFFFFF"/>
                <w:sz w:val="16"/>
              </w:rPr>
              <w:t>Estimate</w:t>
            </w:r>
          </w:p>
        </w:tc>
        <w:tc>
          <w:tcPr>
            <w:tcW w:type="dxa" w:w="2808"/>
            <w:shd w:fill="17365D"/>
            <w:tcMar>
              <w:top w:w="80" w:type="dxa"/>
              <w:start w:w="105" w:type="dxa"/>
              <w:bottom w:w="80" w:type="dxa"/>
              <w:end w:w="105" w:type="dxa"/>
            </w:tcMar>
          </w:tcPr>
          <w:p>
            <w:r>
              <w:rPr>
                <w:b/>
                <w:color w:val="FFFFFF"/>
                <w:sz w:val="16"/>
              </w:rPr>
              <w:t>Acceptance</w:t>
            </w:r>
          </w:p>
        </w:tc>
      </w:tr>
      <w:tr>
        <w:trPr>
          <w:cantSplit w:val="true"/>
        </w:trPr>
        <w:tc>
          <w:tcPr>
            <w:tcW w:type="dxa" w:w="1296"/>
            <w:tcMar>
              <w:top w:w="80" w:type="dxa"/>
              <w:start w:w="105" w:type="dxa"/>
              <w:bottom w:w="80" w:type="dxa"/>
              <w:end w:w="105" w:type="dxa"/>
            </w:tcMar>
            <w:vAlign w:val="center"/>
          </w:tcPr>
          <w:p>
            <w:pPr>
              <w:spacing w:after="0"/>
            </w:pPr>
            <w:r>
              <w:rPr>
                <w:sz w:val="16"/>
              </w:rPr>
              <w:t>IMP-0801</w:t>
            </w:r>
          </w:p>
        </w:tc>
        <w:tc>
          <w:tcPr>
            <w:tcW w:type="dxa" w:w="4320"/>
            <w:tcMar>
              <w:top w:w="80" w:type="dxa"/>
              <w:start w:w="105" w:type="dxa"/>
              <w:bottom w:w="80" w:type="dxa"/>
              <w:end w:w="105" w:type="dxa"/>
            </w:tcMar>
            <w:vAlign w:val="center"/>
          </w:tcPr>
          <w:p>
            <w:pPr>
              <w:spacing w:after="0"/>
            </w:pPr>
            <w:r>
              <w:rPr>
                <w:sz w:val="16"/>
              </w:rPr>
              <w:t>Service identity/permissions/version spike</w:t>
            </w:r>
          </w:p>
        </w:tc>
        <w:tc>
          <w:tcPr>
            <w:tcW w:type="dxa" w:w="936"/>
            <w:tcMar>
              <w:top w:w="80" w:type="dxa"/>
              <w:start w:w="105" w:type="dxa"/>
              <w:bottom w:w="80" w:type="dxa"/>
              <w:end w:w="105" w:type="dxa"/>
            </w:tcMar>
            <w:vAlign w:val="center"/>
          </w:tcPr>
          <w:p>
            <w:pPr>
              <w:spacing w:after="0"/>
            </w:pPr>
            <w:r>
              <w:rPr>
                <w:sz w:val="16"/>
              </w:rPr>
              <w:t>5d</w:t>
            </w:r>
          </w:p>
        </w:tc>
        <w:tc>
          <w:tcPr>
            <w:tcW w:type="dxa" w:w="2808"/>
            <w:tcMar>
              <w:top w:w="80" w:type="dxa"/>
              <w:start w:w="105" w:type="dxa"/>
              <w:bottom w:w="80" w:type="dxa"/>
              <w:end w:w="105" w:type="dxa"/>
            </w:tcMar>
            <w:vAlign w:val="center"/>
          </w:tcPr>
          <w:p>
            <w:pPr>
              <w:spacing w:after="0"/>
            </w:pPr>
            <w:r>
              <w:rPr>
                <w:sz w:val="16"/>
              </w:rPr>
              <w:t>Least-privilege role documented</w:t>
            </w:r>
          </w:p>
        </w:tc>
      </w:tr>
      <w:tr>
        <w:trPr>
          <w:cantSplit w:val="true"/>
        </w:trPr>
        <w:tc>
          <w:tcPr>
            <w:tcW w:type="dxa" w:w="1296"/>
            <w:tcMar>
              <w:top w:w="80" w:type="dxa"/>
              <w:start w:w="105" w:type="dxa"/>
              <w:bottom w:w="80" w:type="dxa"/>
              <w:end w:w="105" w:type="dxa"/>
            </w:tcMar>
            <w:vAlign w:val="center"/>
          </w:tcPr>
          <w:p>
            <w:pPr>
              <w:spacing w:after="0"/>
            </w:pPr>
            <w:r>
              <w:rPr>
                <w:sz w:val="16"/>
              </w:rPr>
              <w:t>IMP-0802</w:t>
            </w:r>
          </w:p>
        </w:tc>
        <w:tc>
          <w:tcPr>
            <w:tcW w:type="dxa" w:w="4320"/>
            <w:tcMar>
              <w:top w:w="80" w:type="dxa"/>
              <w:start w:w="105" w:type="dxa"/>
              <w:bottom w:w="80" w:type="dxa"/>
              <w:end w:w="105" w:type="dxa"/>
            </w:tcMar>
            <w:vAlign w:val="center"/>
          </w:tcPr>
          <w:p>
            <w:pPr>
              <w:spacing w:after="0"/>
            </w:pPr>
            <w:r>
              <w:rPr>
                <w:sz w:val="16"/>
              </w:rPr>
              <w:t>Subscription/scopes connection</w:t>
            </w:r>
          </w:p>
        </w:tc>
        <w:tc>
          <w:tcPr>
            <w:tcW w:type="dxa" w:w="936"/>
            <w:tcMar>
              <w:top w:w="80" w:type="dxa"/>
              <w:start w:w="105" w:type="dxa"/>
              <w:bottom w:w="80" w:type="dxa"/>
              <w:end w:w="105" w:type="dxa"/>
            </w:tcMar>
            <w:vAlign w:val="center"/>
          </w:tcPr>
          <w:p>
            <w:pPr>
              <w:spacing w:after="0"/>
            </w:pPr>
            <w:r>
              <w:rPr>
                <w:sz w:val="16"/>
              </w:rPr>
              <w:t>6d</w:t>
            </w:r>
          </w:p>
        </w:tc>
        <w:tc>
          <w:tcPr>
            <w:tcW w:type="dxa" w:w="2808"/>
            <w:tcMar>
              <w:top w:w="80" w:type="dxa"/>
              <w:start w:w="105" w:type="dxa"/>
              <w:bottom w:w="80" w:type="dxa"/>
              <w:end w:w="105" w:type="dxa"/>
            </w:tcMar>
            <w:vAlign w:val="center"/>
          </w:tcPr>
          <w:p>
            <w:pPr>
              <w:spacing w:after="0"/>
            </w:pPr>
            <w:r>
              <w:rPr>
                <w:sz w:val="16"/>
              </w:rPr>
              <w:t>Multiple subscriptions supported</w:t>
            </w:r>
          </w:p>
        </w:tc>
      </w:tr>
      <w:tr>
        <w:trPr>
          <w:cantSplit w:val="true"/>
        </w:trPr>
        <w:tc>
          <w:tcPr>
            <w:tcW w:type="dxa" w:w="1296"/>
            <w:tcMar>
              <w:top w:w="80" w:type="dxa"/>
              <w:start w:w="105" w:type="dxa"/>
              <w:bottom w:w="80" w:type="dxa"/>
              <w:end w:w="105" w:type="dxa"/>
            </w:tcMar>
            <w:vAlign w:val="center"/>
          </w:tcPr>
          <w:p>
            <w:pPr>
              <w:spacing w:after="0"/>
            </w:pPr>
            <w:r>
              <w:rPr>
                <w:sz w:val="16"/>
              </w:rPr>
              <w:t>IMP-0803</w:t>
            </w:r>
          </w:p>
        </w:tc>
        <w:tc>
          <w:tcPr>
            <w:tcW w:type="dxa" w:w="4320"/>
            <w:tcMar>
              <w:top w:w="80" w:type="dxa"/>
              <w:start w:w="105" w:type="dxa"/>
              <w:bottom w:w="80" w:type="dxa"/>
              <w:end w:w="105" w:type="dxa"/>
            </w:tcMar>
            <w:vAlign w:val="center"/>
          </w:tcPr>
          <w:p>
            <w:pPr>
              <w:spacing w:after="0"/>
            </w:pPr>
            <w:r>
              <w:rPr>
                <w:sz w:val="16"/>
              </w:rPr>
              <w:t>Paged VM/resource/network/disk discovery</w:t>
            </w:r>
          </w:p>
        </w:tc>
        <w:tc>
          <w:tcPr>
            <w:tcW w:type="dxa" w:w="936"/>
            <w:tcMar>
              <w:top w:w="80" w:type="dxa"/>
              <w:start w:w="105" w:type="dxa"/>
              <w:bottom w:w="80" w:type="dxa"/>
              <w:end w:w="105" w:type="dxa"/>
            </w:tcMar>
            <w:vAlign w:val="center"/>
          </w:tcPr>
          <w:p>
            <w:pPr>
              <w:spacing w:after="0"/>
            </w:pPr>
            <w:r>
              <w:rPr>
                <w:sz w:val="16"/>
              </w:rPr>
              <w:t>10d</w:t>
            </w:r>
          </w:p>
        </w:tc>
        <w:tc>
          <w:tcPr>
            <w:tcW w:type="dxa" w:w="2808"/>
            <w:tcMar>
              <w:top w:w="80" w:type="dxa"/>
              <w:start w:w="105" w:type="dxa"/>
              <w:bottom w:w="80" w:type="dxa"/>
              <w:end w:w="105" w:type="dxa"/>
            </w:tcMar>
            <w:vAlign w:val="center"/>
          </w:tcPr>
          <w:p>
            <w:pPr>
              <w:spacing w:after="0"/>
            </w:pPr>
            <w:r>
              <w:rPr>
                <w:sz w:val="16"/>
              </w:rPr>
              <w:t>Resource IDs and hierarchy</w:t>
            </w:r>
          </w:p>
        </w:tc>
      </w:tr>
      <w:tr>
        <w:trPr>
          <w:cantSplit w:val="true"/>
        </w:trPr>
        <w:tc>
          <w:tcPr>
            <w:tcW w:type="dxa" w:w="1296"/>
            <w:tcMar>
              <w:top w:w="80" w:type="dxa"/>
              <w:start w:w="105" w:type="dxa"/>
              <w:bottom w:w="80" w:type="dxa"/>
              <w:end w:w="105" w:type="dxa"/>
            </w:tcMar>
            <w:vAlign w:val="center"/>
          </w:tcPr>
          <w:p>
            <w:pPr>
              <w:spacing w:after="0"/>
            </w:pPr>
            <w:r>
              <w:rPr>
                <w:sz w:val="16"/>
              </w:rPr>
              <w:t>IMP-0804</w:t>
            </w:r>
          </w:p>
        </w:tc>
        <w:tc>
          <w:tcPr>
            <w:tcW w:type="dxa" w:w="4320"/>
            <w:tcMar>
              <w:top w:w="80" w:type="dxa"/>
              <w:start w:w="105" w:type="dxa"/>
              <w:bottom w:w="80" w:type="dxa"/>
              <w:end w:w="105" w:type="dxa"/>
            </w:tcMar>
            <w:vAlign w:val="center"/>
          </w:tcPr>
          <w:p>
            <w:pPr>
              <w:spacing w:after="0"/>
            </w:pPr>
            <w:r>
              <w:rPr>
                <w:sz w:val="16"/>
              </w:rPr>
              <w:t>Azure canonical mapping and tags</w:t>
            </w:r>
          </w:p>
        </w:tc>
        <w:tc>
          <w:tcPr>
            <w:tcW w:type="dxa" w:w="936"/>
            <w:tcMar>
              <w:top w:w="80" w:type="dxa"/>
              <w:start w:w="105" w:type="dxa"/>
              <w:bottom w:w="80" w:type="dxa"/>
              <w:end w:w="105" w:type="dxa"/>
            </w:tcMar>
            <w:vAlign w:val="center"/>
          </w:tcPr>
          <w:p>
            <w:pPr>
              <w:spacing w:after="0"/>
            </w:pPr>
            <w:r>
              <w:rPr>
                <w:sz w:val="16"/>
              </w:rPr>
              <w:t>9d</w:t>
            </w:r>
          </w:p>
        </w:tc>
        <w:tc>
          <w:tcPr>
            <w:tcW w:type="dxa" w:w="2808"/>
            <w:tcMar>
              <w:top w:w="80" w:type="dxa"/>
              <w:start w:w="105" w:type="dxa"/>
              <w:bottom w:w="80" w:type="dxa"/>
              <w:end w:w="105" w:type="dxa"/>
            </w:tcMar>
            <w:vAlign w:val="center"/>
          </w:tcPr>
          <w:p>
            <w:pPr>
              <w:spacing w:after="0"/>
            </w:pPr>
            <w:r>
              <w:rPr>
                <w:sz w:val="16"/>
              </w:rPr>
              <w:t>Required normalized fields</w:t>
            </w:r>
          </w:p>
        </w:tc>
      </w:tr>
      <w:tr>
        <w:trPr>
          <w:cantSplit w:val="true"/>
        </w:trPr>
        <w:tc>
          <w:tcPr>
            <w:tcW w:type="dxa" w:w="1296"/>
            <w:tcMar>
              <w:top w:w="80" w:type="dxa"/>
              <w:start w:w="105" w:type="dxa"/>
              <w:bottom w:w="80" w:type="dxa"/>
              <w:end w:w="105" w:type="dxa"/>
            </w:tcMar>
            <w:vAlign w:val="center"/>
          </w:tcPr>
          <w:p>
            <w:pPr>
              <w:spacing w:after="0"/>
            </w:pPr>
            <w:r>
              <w:rPr>
                <w:sz w:val="16"/>
              </w:rPr>
              <w:t>IMP-0805</w:t>
            </w:r>
          </w:p>
        </w:tc>
        <w:tc>
          <w:tcPr>
            <w:tcW w:type="dxa" w:w="4320"/>
            <w:tcMar>
              <w:top w:w="80" w:type="dxa"/>
              <w:start w:w="105" w:type="dxa"/>
              <w:bottom w:w="80" w:type="dxa"/>
              <w:end w:w="105" w:type="dxa"/>
            </w:tcMar>
            <w:vAlign w:val="center"/>
          </w:tcPr>
          <w:p>
            <w:pPr>
              <w:spacing w:after="0"/>
            </w:pPr>
            <w:r>
              <w:rPr>
                <w:sz w:val="16"/>
              </w:rPr>
              <w:t>Start/stop-deallocate/restart tasks</w:t>
            </w:r>
          </w:p>
        </w:tc>
        <w:tc>
          <w:tcPr>
            <w:tcW w:type="dxa" w:w="936"/>
            <w:tcMar>
              <w:top w:w="80" w:type="dxa"/>
              <w:start w:w="105" w:type="dxa"/>
              <w:bottom w:w="80" w:type="dxa"/>
              <w:end w:w="105" w:type="dxa"/>
            </w:tcMar>
            <w:vAlign w:val="center"/>
          </w:tcPr>
          <w:p>
            <w:pPr>
              <w:spacing w:after="0"/>
            </w:pPr>
            <w:r>
              <w:rPr>
                <w:sz w:val="16"/>
              </w:rPr>
              <w:t>10d</w:t>
            </w:r>
          </w:p>
        </w:tc>
        <w:tc>
          <w:tcPr>
            <w:tcW w:type="dxa" w:w="2808"/>
            <w:tcMar>
              <w:top w:w="80" w:type="dxa"/>
              <w:start w:w="105" w:type="dxa"/>
              <w:bottom w:w="80" w:type="dxa"/>
              <w:end w:w="105" w:type="dxa"/>
            </w:tcMar>
            <w:vAlign w:val="center"/>
          </w:tcPr>
          <w:p>
            <w:pPr>
              <w:spacing w:after="0"/>
            </w:pPr>
            <w:r>
              <w:rPr>
                <w:sz w:val="16"/>
              </w:rPr>
              <w:t>LRO reference and final verification</w:t>
            </w:r>
          </w:p>
        </w:tc>
      </w:tr>
      <w:tr>
        <w:trPr>
          <w:cantSplit w:val="true"/>
        </w:trPr>
        <w:tc>
          <w:tcPr>
            <w:tcW w:type="dxa" w:w="1296"/>
            <w:tcMar>
              <w:top w:w="80" w:type="dxa"/>
              <w:start w:w="105" w:type="dxa"/>
              <w:bottom w:w="80" w:type="dxa"/>
              <w:end w:w="105" w:type="dxa"/>
            </w:tcMar>
            <w:vAlign w:val="center"/>
          </w:tcPr>
          <w:p>
            <w:pPr>
              <w:spacing w:after="0"/>
            </w:pPr>
            <w:r>
              <w:rPr>
                <w:sz w:val="16"/>
              </w:rPr>
              <w:t>IMP-0806</w:t>
            </w:r>
          </w:p>
        </w:tc>
        <w:tc>
          <w:tcPr>
            <w:tcW w:type="dxa" w:w="4320"/>
            <w:tcMar>
              <w:top w:w="80" w:type="dxa"/>
              <w:start w:w="105" w:type="dxa"/>
              <w:bottom w:w="80" w:type="dxa"/>
              <w:end w:w="105" w:type="dxa"/>
            </w:tcMar>
            <w:vAlign w:val="center"/>
          </w:tcPr>
          <w:p>
            <w:pPr>
              <w:spacing w:after="0"/>
            </w:pPr>
            <w:r>
              <w:rPr>
                <w:sz w:val="16"/>
              </w:rPr>
              <w:t>Throttle/LRO timeout/partial-scope tests</w:t>
            </w:r>
          </w:p>
        </w:tc>
        <w:tc>
          <w:tcPr>
            <w:tcW w:type="dxa" w:w="936"/>
            <w:tcMar>
              <w:top w:w="80" w:type="dxa"/>
              <w:start w:w="105" w:type="dxa"/>
              <w:bottom w:w="80" w:type="dxa"/>
              <w:end w:w="105" w:type="dxa"/>
            </w:tcMar>
            <w:vAlign w:val="center"/>
          </w:tcPr>
          <w:p>
            <w:pPr>
              <w:spacing w:after="0"/>
            </w:pPr>
            <w:r>
              <w:rPr>
                <w:sz w:val="16"/>
              </w:rPr>
              <w:t>8d</w:t>
            </w:r>
          </w:p>
        </w:tc>
        <w:tc>
          <w:tcPr>
            <w:tcW w:type="dxa" w:w="2808"/>
            <w:tcMar>
              <w:top w:w="80" w:type="dxa"/>
              <w:start w:w="105" w:type="dxa"/>
              <w:bottom w:w="80" w:type="dxa"/>
              <w:end w:w="105" w:type="dxa"/>
            </w:tcMar>
            <w:vAlign w:val="center"/>
          </w:tcPr>
          <w:p>
            <w:pPr>
              <w:spacing w:after="0"/>
            </w:pPr>
            <w:r>
              <w:rPr>
                <w:sz w:val="16"/>
              </w:rPr>
              <w:t>Verification-required semantics</w:t>
            </w:r>
          </w:p>
        </w:tc>
      </w:tr>
      <w:tr>
        <w:trPr>
          <w:cantSplit w:val="true"/>
        </w:trPr>
        <w:tc>
          <w:tcPr>
            <w:tcW w:type="dxa" w:w="1296"/>
            <w:tcMar>
              <w:top w:w="80" w:type="dxa"/>
              <w:start w:w="105" w:type="dxa"/>
              <w:bottom w:w="80" w:type="dxa"/>
              <w:end w:w="105" w:type="dxa"/>
            </w:tcMar>
            <w:vAlign w:val="center"/>
          </w:tcPr>
          <w:p>
            <w:pPr>
              <w:spacing w:after="0"/>
            </w:pPr>
            <w:r>
              <w:rPr>
                <w:sz w:val="16"/>
              </w:rPr>
              <w:t>IMP-0807</w:t>
            </w:r>
          </w:p>
        </w:tc>
        <w:tc>
          <w:tcPr>
            <w:tcW w:type="dxa" w:w="4320"/>
            <w:tcMar>
              <w:top w:w="80" w:type="dxa"/>
              <w:start w:w="105" w:type="dxa"/>
              <w:bottom w:w="80" w:type="dxa"/>
              <w:end w:w="105" w:type="dxa"/>
            </w:tcMar>
            <w:vAlign w:val="center"/>
          </w:tcPr>
          <w:p>
            <w:pPr>
              <w:spacing w:after="0"/>
            </w:pPr>
            <w:r>
              <w:rPr>
                <w:sz w:val="16"/>
              </w:rPr>
              <w:t>Azure setup/permissions/troubleshooting guide</w:t>
            </w:r>
          </w:p>
        </w:tc>
        <w:tc>
          <w:tcPr>
            <w:tcW w:type="dxa" w:w="936"/>
            <w:tcMar>
              <w:top w:w="80" w:type="dxa"/>
              <w:start w:w="105" w:type="dxa"/>
              <w:bottom w:w="80" w:type="dxa"/>
              <w:end w:w="105" w:type="dxa"/>
            </w:tcMar>
            <w:vAlign w:val="center"/>
          </w:tcPr>
          <w:p>
            <w:pPr>
              <w:spacing w:after="0"/>
            </w:pPr>
            <w:r>
              <w:rPr>
                <w:sz w:val="16"/>
              </w:rPr>
              <w:t>4d</w:t>
            </w:r>
          </w:p>
        </w:tc>
        <w:tc>
          <w:tcPr>
            <w:tcW w:type="dxa" w:w="2808"/>
            <w:tcMar>
              <w:top w:w="80" w:type="dxa"/>
              <w:start w:w="105" w:type="dxa"/>
              <w:bottom w:w="80" w:type="dxa"/>
              <w:end w:w="105" w:type="dxa"/>
            </w:tcMar>
            <w:vAlign w:val="center"/>
          </w:tcPr>
          <w:p>
            <w:pPr>
              <w:spacing w:after="0"/>
            </w:pPr>
            <w:r>
              <w:rPr>
                <w:sz w:val="16"/>
              </w:rPr>
              <w:t>Clean subscription validation</w:t>
            </w:r>
          </w:p>
        </w:tc>
      </w:tr>
    </w:tbl>
    <w:p>
      <w:pPr>
        <w:spacing w:after="20"/>
      </w:pPr>
    </w:p>
    <w:p>
      <w:pPr>
        <w:pStyle w:val="Heading1"/>
        <w:keepNext/>
        <w:pageBreakBefore/>
      </w:pPr>
      <w:r>
        <w:t>18. M9 — Integrated Qualification</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2088"/>
            <w:shd w:fill="17365D"/>
            <w:tcMar>
              <w:top w:w="80" w:type="dxa"/>
              <w:start w:w="105" w:type="dxa"/>
              <w:bottom w:w="80" w:type="dxa"/>
              <w:end w:w="105" w:type="dxa"/>
            </w:tcMar>
          </w:tcPr>
          <w:p>
            <w:r>
              <w:rPr>
                <w:b/>
                <w:color w:val="FFFFFF"/>
                <w:sz w:val="17"/>
              </w:rPr>
              <w:t>Workstream</w:t>
            </w:r>
          </w:p>
        </w:tc>
        <w:tc>
          <w:tcPr>
            <w:tcW w:type="dxa" w:w="7272"/>
            <w:shd w:fill="17365D"/>
            <w:tcMar>
              <w:top w:w="80" w:type="dxa"/>
              <w:start w:w="105" w:type="dxa"/>
              <w:bottom w:w="80" w:type="dxa"/>
              <w:end w:w="105" w:type="dxa"/>
            </w:tcMar>
          </w:tcPr>
          <w:p>
            <w:r>
              <w:rPr>
                <w:b/>
                <w:color w:val="FFFFFF"/>
                <w:sz w:val="17"/>
              </w:rPr>
              <w:t>Exit evidence</w:t>
            </w:r>
          </w:p>
        </w:tc>
      </w:tr>
      <w:tr>
        <w:trPr>
          <w:cantSplit w:val="true"/>
        </w:trPr>
        <w:tc>
          <w:tcPr>
            <w:tcW w:type="dxa" w:w="2088"/>
            <w:tcMar>
              <w:top w:w="80" w:type="dxa"/>
              <w:start w:w="105" w:type="dxa"/>
              <w:bottom w:w="80" w:type="dxa"/>
              <w:end w:w="105" w:type="dxa"/>
            </w:tcMar>
            <w:vAlign w:val="center"/>
          </w:tcPr>
          <w:p>
            <w:pPr>
              <w:spacing w:after="0"/>
            </w:pPr>
            <w:r>
              <w:rPr>
                <w:sz w:val="17"/>
              </w:rPr>
              <w:t>Functional</w:t>
            </w:r>
          </w:p>
        </w:tc>
        <w:tc>
          <w:tcPr>
            <w:tcW w:type="dxa" w:w="7272"/>
            <w:tcMar>
              <w:top w:w="80" w:type="dxa"/>
              <w:start w:w="105" w:type="dxa"/>
              <w:bottom w:w="80" w:type="dxa"/>
              <w:end w:w="105" w:type="dxa"/>
            </w:tcMar>
            <w:vAlign w:val="center"/>
          </w:tcPr>
          <w:p>
            <w:pPr>
              <w:spacing w:after="0"/>
            </w:pPr>
            <w:r>
              <w:rPr>
                <w:sz w:val="17"/>
              </w:rPr>
              <w:t>All must-have PRD acceptance criteria pass across supported providers</w:t>
            </w:r>
          </w:p>
        </w:tc>
      </w:tr>
      <w:tr>
        <w:trPr>
          <w:cantSplit w:val="true"/>
        </w:trPr>
        <w:tc>
          <w:tcPr>
            <w:tcW w:type="dxa" w:w="2088"/>
            <w:tcMar>
              <w:top w:w="80" w:type="dxa"/>
              <w:start w:w="105" w:type="dxa"/>
              <w:bottom w:w="80" w:type="dxa"/>
              <w:end w:w="105" w:type="dxa"/>
            </w:tcMar>
            <w:vAlign w:val="center"/>
          </w:tcPr>
          <w:p>
            <w:pPr>
              <w:spacing w:after="0"/>
            </w:pPr>
            <w:r>
              <w:rPr>
                <w:sz w:val="17"/>
              </w:rPr>
              <w:t>Security</w:t>
            </w:r>
          </w:p>
        </w:tc>
        <w:tc>
          <w:tcPr>
            <w:tcW w:type="dxa" w:w="7272"/>
            <w:tcMar>
              <w:top w:w="80" w:type="dxa"/>
              <w:start w:w="105" w:type="dxa"/>
              <w:bottom w:w="80" w:type="dxa"/>
              <w:end w:w="105" w:type="dxa"/>
            </w:tcMar>
            <w:vAlign w:val="center"/>
          </w:tcPr>
          <w:p>
            <w:pPr>
              <w:spacing w:after="0"/>
            </w:pPr>
            <w:r>
              <w:rPr>
                <w:sz w:val="17"/>
              </w:rPr>
              <w:t>Threat actions closed; authorization/CSRF/secret/replay tests; no unaccepted Critical/High</w:t>
            </w:r>
          </w:p>
        </w:tc>
      </w:tr>
      <w:tr>
        <w:trPr>
          <w:cantSplit w:val="true"/>
        </w:trPr>
        <w:tc>
          <w:tcPr>
            <w:tcW w:type="dxa" w:w="2088"/>
            <w:tcMar>
              <w:top w:w="80" w:type="dxa"/>
              <w:start w:w="105" w:type="dxa"/>
              <w:bottom w:w="80" w:type="dxa"/>
              <w:end w:w="105" w:type="dxa"/>
            </w:tcMar>
            <w:vAlign w:val="center"/>
          </w:tcPr>
          <w:p>
            <w:pPr>
              <w:spacing w:after="0"/>
            </w:pPr>
            <w:r>
              <w:rPr>
                <w:sz w:val="17"/>
              </w:rPr>
              <w:t>Performance</w:t>
            </w:r>
          </w:p>
        </w:tc>
        <w:tc>
          <w:tcPr>
            <w:tcW w:type="dxa" w:w="7272"/>
            <w:tcMar>
              <w:top w:w="80" w:type="dxa"/>
              <w:start w:w="105" w:type="dxa"/>
              <w:bottom w:w="80" w:type="dxa"/>
              <w:end w:w="105" w:type="dxa"/>
            </w:tcMar>
            <w:vAlign w:val="center"/>
          </w:tcPr>
          <w:p>
            <w:pPr>
              <w:spacing w:after="0"/>
            </w:pPr>
            <w:r>
              <w:rPr>
                <w:sz w:val="17"/>
              </w:rPr>
              <w:t>10,000-VM inventory/dashboard/task scenarios meet TADS targets</w:t>
            </w:r>
          </w:p>
        </w:tc>
      </w:tr>
      <w:tr>
        <w:trPr>
          <w:cantSplit w:val="true"/>
        </w:trPr>
        <w:tc>
          <w:tcPr>
            <w:tcW w:type="dxa" w:w="2088"/>
            <w:tcMar>
              <w:top w:w="80" w:type="dxa"/>
              <w:start w:w="105" w:type="dxa"/>
              <w:bottom w:w="80" w:type="dxa"/>
              <w:end w:w="105" w:type="dxa"/>
            </w:tcMar>
            <w:vAlign w:val="center"/>
          </w:tcPr>
          <w:p>
            <w:pPr>
              <w:spacing w:after="0"/>
            </w:pPr>
            <w:r>
              <w:rPr>
                <w:sz w:val="17"/>
              </w:rPr>
              <w:t>Reliability</w:t>
            </w:r>
          </w:p>
        </w:tc>
        <w:tc>
          <w:tcPr>
            <w:tcW w:type="dxa" w:w="7272"/>
            <w:tcMar>
              <w:top w:w="80" w:type="dxa"/>
              <w:start w:w="105" w:type="dxa"/>
              <w:bottom w:w="80" w:type="dxa"/>
              <w:end w:w="105" w:type="dxa"/>
            </w:tcMar>
            <w:vAlign w:val="center"/>
          </w:tcPr>
          <w:p>
            <w:pPr>
              <w:spacing w:after="0"/>
            </w:pPr>
            <w:r>
              <w:rPr>
                <w:sz w:val="17"/>
              </w:rPr>
              <w:t>Worker crash, broker restart, provider outage/throttle, database recovery, ambiguous operation</w:t>
            </w:r>
          </w:p>
        </w:tc>
      </w:tr>
      <w:tr>
        <w:trPr>
          <w:cantSplit w:val="true"/>
        </w:trPr>
        <w:tc>
          <w:tcPr>
            <w:tcW w:type="dxa" w:w="2088"/>
            <w:tcMar>
              <w:top w:w="80" w:type="dxa"/>
              <w:start w:w="105" w:type="dxa"/>
              <w:bottom w:w="80" w:type="dxa"/>
              <w:end w:w="105" w:type="dxa"/>
            </w:tcMar>
            <w:vAlign w:val="center"/>
          </w:tcPr>
          <w:p>
            <w:pPr>
              <w:spacing w:after="0"/>
            </w:pPr>
            <w:r>
              <w:rPr>
                <w:sz w:val="17"/>
              </w:rPr>
              <w:t>Recovery</w:t>
            </w:r>
          </w:p>
        </w:tc>
        <w:tc>
          <w:tcPr>
            <w:tcW w:type="dxa" w:w="7272"/>
            <w:tcMar>
              <w:top w:w="80" w:type="dxa"/>
              <w:start w:w="105" w:type="dxa"/>
              <w:bottom w:w="80" w:type="dxa"/>
              <w:end w:w="105" w:type="dxa"/>
            </w:tcMar>
            <w:vAlign w:val="center"/>
          </w:tcPr>
          <w:p>
            <w:pPr>
              <w:spacing w:after="0"/>
            </w:pPr>
            <w:r>
              <w:rPr>
                <w:sz w:val="17"/>
              </w:rPr>
              <w:t>Backup restore and post-outage provider reconciliation within approved RPO/RTO</w:t>
            </w:r>
          </w:p>
        </w:tc>
      </w:tr>
      <w:tr>
        <w:trPr>
          <w:cantSplit w:val="true"/>
        </w:trPr>
        <w:tc>
          <w:tcPr>
            <w:tcW w:type="dxa" w:w="2088"/>
            <w:tcMar>
              <w:top w:w="80" w:type="dxa"/>
              <w:start w:w="105" w:type="dxa"/>
              <w:bottom w:w="80" w:type="dxa"/>
              <w:end w:w="105" w:type="dxa"/>
            </w:tcMar>
            <w:vAlign w:val="center"/>
          </w:tcPr>
          <w:p>
            <w:pPr>
              <w:spacing w:after="0"/>
            </w:pPr>
            <w:r>
              <w:rPr>
                <w:sz w:val="17"/>
              </w:rPr>
              <w:t>Accessibility</w:t>
            </w:r>
          </w:p>
        </w:tc>
        <w:tc>
          <w:tcPr>
            <w:tcW w:type="dxa" w:w="7272"/>
            <w:tcMar>
              <w:top w:w="80" w:type="dxa"/>
              <w:start w:w="105" w:type="dxa"/>
              <w:bottom w:w="80" w:type="dxa"/>
              <w:end w:w="105" w:type="dxa"/>
            </w:tcMar>
            <w:vAlign w:val="center"/>
          </w:tcPr>
          <w:p>
            <w:pPr>
              <w:spacing w:after="0"/>
            </w:pPr>
            <w:r>
              <w:rPr>
                <w:sz w:val="17"/>
              </w:rPr>
              <w:t>WCAG 2.1 AA core journeys; keyboard, focus, contrast, status semantics</w:t>
            </w:r>
          </w:p>
        </w:tc>
      </w:tr>
      <w:tr>
        <w:trPr>
          <w:cantSplit w:val="true"/>
        </w:trPr>
        <w:tc>
          <w:tcPr>
            <w:tcW w:type="dxa" w:w="2088"/>
            <w:tcMar>
              <w:top w:w="80" w:type="dxa"/>
              <w:start w:w="105" w:type="dxa"/>
              <w:bottom w:w="80" w:type="dxa"/>
              <w:end w:w="105" w:type="dxa"/>
            </w:tcMar>
            <w:vAlign w:val="center"/>
          </w:tcPr>
          <w:p>
            <w:pPr>
              <w:spacing w:after="0"/>
            </w:pPr>
            <w:r>
              <w:rPr>
                <w:sz w:val="17"/>
              </w:rPr>
              <w:t>Compatibility</w:t>
            </w:r>
          </w:p>
        </w:tc>
        <w:tc>
          <w:tcPr>
            <w:tcW w:type="dxa" w:w="7272"/>
            <w:tcMar>
              <w:top w:w="80" w:type="dxa"/>
              <w:start w:w="105" w:type="dxa"/>
              <w:bottom w:w="80" w:type="dxa"/>
              <w:end w:w="105" w:type="dxa"/>
            </w:tcMar>
            <w:vAlign w:val="center"/>
          </w:tcPr>
          <w:p>
            <w:pPr>
              <w:spacing w:after="0"/>
            </w:pPr>
            <w:r>
              <w:rPr>
                <w:sz w:val="17"/>
              </w:rPr>
              <w:t>Supported provider, browser, agent, database, and deployment matrix</w:t>
            </w:r>
          </w:p>
        </w:tc>
      </w:tr>
      <w:tr>
        <w:trPr>
          <w:cantSplit w:val="true"/>
        </w:trPr>
        <w:tc>
          <w:tcPr>
            <w:tcW w:type="dxa" w:w="2088"/>
            <w:tcMar>
              <w:top w:w="80" w:type="dxa"/>
              <w:start w:w="105" w:type="dxa"/>
              <w:bottom w:w="80" w:type="dxa"/>
              <w:end w:w="105" w:type="dxa"/>
            </w:tcMar>
            <w:vAlign w:val="center"/>
          </w:tcPr>
          <w:p>
            <w:pPr>
              <w:spacing w:after="0"/>
            </w:pPr>
            <w:r>
              <w:rPr>
                <w:sz w:val="17"/>
              </w:rPr>
              <w:t>Operations</w:t>
            </w:r>
          </w:p>
        </w:tc>
        <w:tc>
          <w:tcPr>
            <w:tcW w:type="dxa" w:w="7272"/>
            <w:tcMar>
              <w:top w:w="80" w:type="dxa"/>
              <w:start w:w="105" w:type="dxa"/>
              <w:bottom w:w="80" w:type="dxa"/>
              <w:end w:w="105" w:type="dxa"/>
            </w:tcMar>
            <w:vAlign w:val="center"/>
          </w:tcPr>
          <w:p>
            <w:pPr>
              <w:spacing w:after="0"/>
            </w:pPr>
            <w:r>
              <w:rPr>
                <w:sz w:val="17"/>
              </w:rPr>
              <w:t>Health, metrics, logs, correlation, alerts, runbooks, known limitations</w:t>
            </w:r>
          </w:p>
        </w:tc>
      </w:tr>
      <w:tr>
        <w:trPr>
          <w:cantSplit w:val="true"/>
        </w:trPr>
        <w:tc>
          <w:tcPr>
            <w:tcW w:type="dxa" w:w="2088"/>
            <w:tcMar>
              <w:top w:w="80" w:type="dxa"/>
              <w:start w:w="105" w:type="dxa"/>
              <w:bottom w:w="80" w:type="dxa"/>
              <w:end w:w="105" w:type="dxa"/>
            </w:tcMar>
            <w:vAlign w:val="center"/>
          </w:tcPr>
          <w:p>
            <w:pPr>
              <w:spacing w:after="0"/>
            </w:pPr>
            <w:r>
              <w:rPr>
                <w:sz w:val="17"/>
              </w:rPr>
              <w:t>Documentation</w:t>
            </w:r>
          </w:p>
        </w:tc>
        <w:tc>
          <w:tcPr>
            <w:tcW w:type="dxa" w:w="7272"/>
            <w:tcMar>
              <w:top w:w="80" w:type="dxa"/>
              <w:start w:w="105" w:type="dxa"/>
              <w:bottom w:w="80" w:type="dxa"/>
              <w:end w:w="105" w:type="dxa"/>
            </w:tcMar>
            <w:vAlign w:val="center"/>
          </w:tcPr>
          <w:p>
            <w:pPr>
              <w:spacing w:after="0"/>
            </w:pPr>
            <w:r>
              <w:rPr>
                <w:sz w:val="17"/>
              </w:rPr>
              <w:t>Install, upgrade, provider setup, administration, backup/restore, troubleshooting</w:t>
            </w:r>
          </w:p>
        </w:tc>
      </w:tr>
    </w:tbl>
    <w:p>
      <w:pPr>
        <w:spacing w:after="20"/>
      </w:pPr>
    </w:p>
    <w:p>
      <w:pPr>
        <w:pStyle w:val="Heading2"/>
        <w:keepNext/>
      </w:pPr>
      <w:r>
        <w:t>18.1 Defect exit policy</w:t>
      </w:r>
    </w:p>
    <w:p>
      <w:pPr>
        <w:pStyle w:val="ListBullet"/>
      </w:pPr>
      <w:r>
        <w:t>Zero open severity-1 defects</w:t>
      </w:r>
    </w:p>
    <w:p>
      <w:pPr>
        <w:pStyle w:val="ListBullet"/>
      </w:pPr>
      <w:r>
        <w:t>Zero known unauthorized-operation or secret-exposure defects</w:t>
      </w:r>
    </w:p>
    <w:p>
      <w:pPr>
        <w:pStyle w:val="ListBullet"/>
      </w:pPr>
      <w:r>
        <w:t>Severity-2 defects require documented workaround and explicit release-board disposition</w:t>
      </w:r>
    </w:p>
    <w:p>
      <w:pPr>
        <w:pStyle w:val="ListBullet"/>
      </w:pPr>
      <w:r>
        <w:t>Flaky qualification tests are defects and cannot be hidden by retries</w:t>
      </w:r>
    </w:p>
    <w:p>
      <w:pPr>
        <w:pStyle w:val="ListBullet"/>
      </w:pPr>
      <w:r>
        <w:t>Provider limitations are documented, surfaced in capability behavior, and included in release notes</w:t>
      </w:r>
    </w:p>
    <w:p>
      <w:pPr>
        <w:pStyle w:val="Heading1"/>
        <w:keepNext/>
      </w:pPr>
      <w:r>
        <w:t>19. M10 — Release Candidate</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1440"/>
            <w:shd w:fill="17365D"/>
            <w:tcMar>
              <w:top w:w="80" w:type="dxa"/>
              <w:start w:w="105" w:type="dxa"/>
              <w:bottom w:w="80" w:type="dxa"/>
              <w:end w:w="105" w:type="dxa"/>
            </w:tcMar>
          </w:tcPr>
          <w:p>
            <w:r>
              <w:rPr>
                <w:b/>
                <w:color w:val="FFFFFF"/>
                <w:sz w:val="17"/>
              </w:rPr>
              <w:t>Backlog ID</w:t>
            </w:r>
          </w:p>
        </w:tc>
        <w:tc>
          <w:tcPr>
            <w:tcW w:type="dxa" w:w="4464"/>
            <w:shd w:fill="17365D"/>
            <w:tcMar>
              <w:top w:w="80" w:type="dxa"/>
              <w:start w:w="105" w:type="dxa"/>
              <w:bottom w:w="80" w:type="dxa"/>
              <w:end w:w="105" w:type="dxa"/>
            </w:tcMar>
          </w:tcPr>
          <w:p>
            <w:r>
              <w:rPr>
                <w:b/>
                <w:color w:val="FFFFFF"/>
                <w:sz w:val="17"/>
              </w:rPr>
              <w:t>Deliverable</w:t>
            </w:r>
          </w:p>
        </w:tc>
        <w:tc>
          <w:tcPr>
            <w:tcW w:type="dxa" w:w="3456"/>
            <w:shd w:fill="17365D"/>
            <w:tcMar>
              <w:top w:w="80" w:type="dxa"/>
              <w:start w:w="105" w:type="dxa"/>
              <w:bottom w:w="80" w:type="dxa"/>
              <w:end w:w="105" w:type="dxa"/>
            </w:tcMar>
          </w:tcPr>
          <w:p>
            <w:r>
              <w:rPr>
                <w:b/>
                <w:color w:val="FFFFFF"/>
                <w:sz w:val="17"/>
              </w:rPr>
              <w:t>Acceptance</w:t>
            </w:r>
          </w:p>
        </w:tc>
      </w:tr>
      <w:tr>
        <w:trPr>
          <w:cantSplit w:val="true"/>
        </w:trPr>
        <w:tc>
          <w:tcPr>
            <w:tcW w:type="dxa" w:w="1440"/>
            <w:tcMar>
              <w:top w:w="80" w:type="dxa"/>
              <w:start w:w="105" w:type="dxa"/>
              <w:bottom w:w="80" w:type="dxa"/>
              <w:end w:w="105" w:type="dxa"/>
            </w:tcMar>
            <w:vAlign w:val="center"/>
          </w:tcPr>
          <w:p>
            <w:pPr>
              <w:spacing w:after="0"/>
            </w:pPr>
            <w:r>
              <w:rPr>
                <w:sz w:val="17"/>
              </w:rPr>
              <w:t>IMP-1001</w:t>
            </w:r>
          </w:p>
        </w:tc>
        <w:tc>
          <w:tcPr>
            <w:tcW w:type="dxa" w:w="4464"/>
            <w:tcMar>
              <w:top w:w="80" w:type="dxa"/>
              <w:start w:w="105" w:type="dxa"/>
              <w:bottom w:w="80" w:type="dxa"/>
              <w:end w:w="105" w:type="dxa"/>
            </w:tcMar>
            <w:vAlign w:val="center"/>
          </w:tcPr>
          <w:p>
            <w:pPr>
              <w:spacing w:after="0"/>
            </w:pPr>
            <w:r>
              <w:rPr>
                <w:sz w:val="17"/>
              </w:rPr>
              <w:t>Build signed immutable RC artifacts and SBOM</w:t>
            </w:r>
          </w:p>
        </w:tc>
        <w:tc>
          <w:tcPr>
            <w:tcW w:type="dxa" w:w="3456"/>
            <w:tcMar>
              <w:top w:w="80" w:type="dxa"/>
              <w:start w:w="105" w:type="dxa"/>
              <w:bottom w:w="80" w:type="dxa"/>
              <w:end w:w="105" w:type="dxa"/>
            </w:tcMar>
            <w:vAlign w:val="center"/>
          </w:tcPr>
          <w:p>
            <w:pPr>
              <w:spacing w:after="0"/>
            </w:pPr>
            <w:r>
              <w:rPr>
                <w:sz w:val="17"/>
              </w:rPr>
              <w:t>Provenance verified</w:t>
            </w:r>
          </w:p>
        </w:tc>
      </w:tr>
      <w:tr>
        <w:trPr>
          <w:cantSplit w:val="true"/>
        </w:trPr>
        <w:tc>
          <w:tcPr>
            <w:tcW w:type="dxa" w:w="1440"/>
            <w:tcMar>
              <w:top w:w="80" w:type="dxa"/>
              <w:start w:w="105" w:type="dxa"/>
              <w:bottom w:w="80" w:type="dxa"/>
              <w:end w:w="105" w:type="dxa"/>
            </w:tcMar>
            <w:vAlign w:val="center"/>
          </w:tcPr>
          <w:p>
            <w:pPr>
              <w:spacing w:after="0"/>
            </w:pPr>
            <w:r>
              <w:rPr>
                <w:sz w:val="17"/>
              </w:rPr>
              <w:t>IMP-1002</w:t>
            </w:r>
          </w:p>
        </w:tc>
        <w:tc>
          <w:tcPr>
            <w:tcW w:type="dxa" w:w="4464"/>
            <w:tcMar>
              <w:top w:w="80" w:type="dxa"/>
              <w:start w:w="105" w:type="dxa"/>
              <w:bottom w:w="80" w:type="dxa"/>
              <w:end w:w="105" w:type="dxa"/>
            </w:tcMar>
            <w:vAlign w:val="center"/>
          </w:tcPr>
          <w:p>
            <w:pPr>
              <w:spacing w:after="0"/>
            </w:pPr>
            <w:r>
              <w:rPr>
                <w:sz w:val="17"/>
              </w:rPr>
              <w:t>Clean install in reference topology</w:t>
            </w:r>
          </w:p>
        </w:tc>
        <w:tc>
          <w:tcPr>
            <w:tcW w:type="dxa" w:w="3456"/>
            <w:tcMar>
              <w:top w:w="80" w:type="dxa"/>
              <w:start w:w="105" w:type="dxa"/>
              <w:bottom w:w="80" w:type="dxa"/>
              <w:end w:w="105" w:type="dxa"/>
            </w:tcMar>
            <w:vAlign w:val="center"/>
          </w:tcPr>
          <w:p>
            <w:pPr>
              <w:spacing w:after="0"/>
            </w:pPr>
            <w:r>
              <w:rPr>
                <w:sz w:val="17"/>
              </w:rPr>
              <w:t>Runbook executed by nonauthor</w:t>
            </w:r>
          </w:p>
        </w:tc>
      </w:tr>
      <w:tr>
        <w:trPr>
          <w:cantSplit w:val="true"/>
        </w:trPr>
        <w:tc>
          <w:tcPr>
            <w:tcW w:type="dxa" w:w="1440"/>
            <w:tcMar>
              <w:top w:w="80" w:type="dxa"/>
              <w:start w:w="105" w:type="dxa"/>
              <w:bottom w:w="80" w:type="dxa"/>
              <w:end w:w="105" w:type="dxa"/>
            </w:tcMar>
            <w:vAlign w:val="center"/>
          </w:tcPr>
          <w:p>
            <w:pPr>
              <w:spacing w:after="0"/>
            </w:pPr>
            <w:r>
              <w:rPr>
                <w:sz w:val="17"/>
              </w:rPr>
              <w:t>IMP-1003</w:t>
            </w:r>
          </w:p>
        </w:tc>
        <w:tc>
          <w:tcPr>
            <w:tcW w:type="dxa" w:w="4464"/>
            <w:tcMar>
              <w:top w:w="80" w:type="dxa"/>
              <w:start w:w="105" w:type="dxa"/>
              <w:bottom w:w="80" w:type="dxa"/>
              <w:end w:w="105" w:type="dxa"/>
            </w:tcMar>
            <w:vAlign w:val="center"/>
          </w:tcPr>
          <w:p>
            <w:pPr>
              <w:spacing w:after="0"/>
            </w:pPr>
            <w:r>
              <w:rPr>
                <w:sz w:val="17"/>
              </w:rPr>
              <w:t>Upgrade and migration rehearsal</w:t>
            </w:r>
          </w:p>
        </w:tc>
        <w:tc>
          <w:tcPr>
            <w:tcW w:type="dxa" w:w="3456"/>
            <w:tcMar>
              <w:top w:w="80" w:type="dxa"/>
              <w:start w:w="105" w:type="dxa"/>
              <w:bottom w:w="80" w:type="dxa"/>
              <w:end w:w="105" w:type="dxa"/>
            </w:tcMar>
            <w:vAlign w:val="center"/>
          </w:tcPr>
          <w:p>
            <w:pPr>
              <w:spacing w:after="0"/>
            </w:pPr>
            <w:r>
              <w:rPr>
                <w:sz w:val="17"/>
              </w:rPr>
              <w:t>Prior baseline → RC; compatibility evidence</w:t>
            </w:r>
          </w:p>
        </w:tc>
      </w:tr>
      <w:tr>
        <w:trPr>
          <w:cantSplit w:val="true"/>
        </w:trPr>
        <w:tc>
          <w:tcPr>
            <w:tcW w:type="dxa" w:w="1440"/>
            <w:tcMar>
              <w:top w:w="80" w:type="dxa"/>
              <w:start w:w="105" w:type="dxa"/>
              <w:bottom w:w="80" w:type="dxa"/>
              <w:end w:w="105" w:type="dxa"/>
            </w:tcMar>
            <w:vAlign w:val="center"/>
          </w:tcPr>
          <w:p>
            <w:pPr>
              <w:spacing w:after="0"/>
            </w:pPr>
            <w:r>
              <w:rPr>
                <w:sz w:val="17"/>
              </w:rPr>
              <w:t>IMP-1004</w:t>
            </w:r>
          </w:p>
        </w:tc>
        <w:tc>
          <w:tcPr>
            <w:tcW w:type="dxa" w:w="4464"/>
            <w:tcMar>
              <w:top w:w="80" w:type="dxa"/>
              <w:start w:w="105" w:type="dxa"/>
              <w:bottom w:w="80" w:type="dxa"/>
              <w:end w:w="105" w:type="dxa"/>
            </w:tcMar>
            <w:vAlign w:val="center"/>
          </w:tcPr>
          <w:p>
            <w:pPr>
              <w:spacing w:after="0"/>
            </w:pPr>
            <w:r>
              <w:rPr>
                <w:sz w:val="17"/>
              </w:rPr>
              <w:t>Backup/restore and key recovery rehearsal</w:t>
            </w:r>
          </w:p>
        </w:tc>
        <w:tc>
          <w:tcPr>
            <w:tcW w:type="dxa" w:w="3456"/>
            <w:tcMar>
              <w:top w:w="80" w:type="dxa"/>
              <w:start w:w="105" w:type="dxa"/>
              <w:bottom w:w="80" w:type="dxa"/>
              <w:end w:w="105" w:type="dxa"/>
            </w:tcMar>
            <w:vAlign w:val="center"/>
          </w:tcPr>
          <w:p>
            <w:pPr>
              <w:spacing w:after="0"/>
            </w:pPr>
            <w:r>
              <w:rPr>
                <w:sz w:val="17"/>
              </w:rPr>
              <w:t>Approved recovery time and reconciliation</w:t>
            </w:r>
          </w:p>
        </w:tc>
      </w:tr>
      <w:tr>
        <w:trPr>
          <w:cantSplit w:val="true"/>
        </w:trPr>
        <w:tc>
          <w:tcPr>
            <w:tcW w:type="dxa" w:w="1440"/>
            <w:tcMar>
              <w:top w:w="80" w:type="dxa"/>
              <w:start w:w="105" w:type="dxa"/>
              <w:bottom w:w="80" w:type="dxa"/>
              <w:end w:w="105" w:type="dxa"/>
            </w:tcMar>
            <w:vAlign w:val="center"/>
          </w:tcPr>
          <w:p>
            <w:pPr>
              <w:spacing w:after="0"/>
            </w:pPr>
            <w:r>
              <w:rPr>
                <w:sz w:val="17"/>
              </w:rPr>
              <w:t>IMP-1005</w:t>
            </w:r>
          </w:p>
        </w:tc>
        <w:tc>
          <w:tcPr>
            <w:tcW w:type="dxa" w:w="4464"/>
            <w:tcMar>
              <w:top w:w="80" w:type="dxa"/>
              <w:start w:w="105" w:type="dxa"/>
              <w:bottom w:w="80" w:type="dxa"/>
              <w:end w:w="105" w:type="dxa"/>
            </w:tcMar>
            <w:vAlign w:val="center"/>
          </w:tcPr>
          <w:p>
            <w:pPr>
              <w:spacing w:after="0"/>
            </w:pPr>
            <w:r>
              <w:rPr>
                <w:sz w:val="17"/>
              </w:rPr>
              <w:t>Release traceability package</w:t>
            </w:r>
          </w:p>
        </w:tc>
        <w:tc>
          <w:tcPr>
            <w:tcW w:type="dxa" w:w="3456"/>
            <w:tcMar>
              <w:top w:w="80" w:type="dxa"/>
              <w:start w:w="105" w:type="dxa"/>
              <w:bottom w:w="80" w:type="dxa"/>
              <w:end w:w="105" w:type="dxa"/>
            </w:tcMar>
            <w:vAlign w:val="center"/>
          </w:tcPr>
          <w:p>
            <w:pPr>
              <w:spacing w:after="0"/>
            </w:pPr>
            <w:r>
              <w:rPr>
                <w:sz w:val="17"/>
              </w:rPr>
              <w:t>Requirements → stories → tests → results</w:t>
            </w:r>
          </w:p>
        </w:tc>
      </w:tr>
      <w:tr>
        <w:trPr>
          <w:cantSplit w:val="true"/>
        </w:trPr>
        <w:tc>
          <w:tcPr>
            <w:tcW w:type="dxa" w:w="1440"/>
            <w:tcMar>
              <w:top w:w="80" w:type="dxa"/>
              <w:start w:w="105" w:type="dxa"/>
              <w:bottom w:w="80" w:type="dxa"/>
              <w:end w:w="105" w:type="dxa"/>
            </w:tcMar>
            <w:vAlign w:val="center"/>
          </w:tcPr>
          <w:p>
            <w:pPr>
              <w:spacing w:after="0"/>
            </w:pPr>
            <w:r>
              <w:rPr>
                <w:sz w:val="17"/>
              </w:rPr>
              <w:t>IMP-1006</w:t>
            </w:r>
          </w:p>
        </w:tc>
        <w:tc>
          <w:tcPr>
            <w:tcW w:type="dxa" w:w="4464"/>
            <w:tcMar>
              <w:top w:w="80" w:type="dxa"/>
              <w:start w:w="105" w:type="dxa"/>
              <w:bottom w:w="80" w:type="dxa"/>
              <w:end w:w="105" w:type="dxa"/>
            </w:tcMar>
            <w:vAlign w:val="center"/>
          </w:tcPr>
          <w:p>
            <w:pPr>
              <w:spacing w:after="0"/>
            </w:pPr>
            <w:r>
              <w:rPr>
                <w:sz w:val="17"/>
              </w:rPr>
              <w:t>Operations handoff and alert review</w:t>
            </w:r>
          </w:p>
        </w:tc>
        <w:tc>
          <w:tcPr>
            <w:tcW w:type="dxa" w:w="3456"/>
            <w:tcMar>
              <w:top w:w="80" w:type="dxa"/>
              <w:start w:w="105" w:type="dxa"/>
              <w:bottom w:w="80" w:type="dxa"/>
              <w:end w:w="105" w:type="dxa"/>
            </w:tcMar>
            <w:vAlign w:val="center"/>
          </w:tcPr>
          <w:p>
            <w:pPr>
              <w:spacing w:after="0"/>
            </w:pPr>
            <w:r>
              <w:rPr>
                <w:sz w:val="17"/>
              </w:rPr>
              <w:t>Owners, dashboards, escalation, runbooks</w:t>
            </w:r>
          </w:p>
        </w:tc>
      </w:tr>
      <w:tr>
        <w:trPr>
          <w:cantSplit w:val="true"/>
        </w:trPr>
        <w:tc>
          <w:tcPr>
            <w:tcW w:type="dxa" w:w="1440"/>
            <w:tcMar>
              <w:top w:w="80" w:type="dxa"/>
              <w:start w:w="105" w:type="dxa"/>
              <w:bottom w:w="80" w:type="dxa"/>
              <w:end w:w="105" w:type="dxa"/>
            </w:tcMar>
            <w:vAlign w:val="center"/>
          </w:tcPr>
          <w:p>
            <w:pPr>
              <w:spacing w:after="0"/>
            </w:pPr>
            <w:r>
              <w:rPr>
                <w:sz w:val="17"/>
              </w:rPr>
              <w:t>IMP-1007</w:t>
            </w:r>
          </w:p>
        </w:tc>
        <w:tc>
          <w:tcPr>
            <w:tcW w:type="dxa" w:w="4464"/>
            <w:tcMar>
              <w:top w:w="80" w:type="dxa"/>
              <w:start w:w="105" w:type="dxa"/>
              <w:bottom w:w="80" w:type="dxa"/>
              <w:end w:w="105" w:type="dxa"/>
            </w:tcMar>
            <w:vAlign w:val="center"/>
          </w:tcPr>
          <w:p>
            <w:pPr>
              <w:spacing w:after="0"/>
            </w:pPr>
            <w:r>
              <w:rPr>
                <w:sz w:val="17"/>
              </w:rPr>
              <w:t>Final security and license review</w:t>
            </w:r>
          </w:p>
        </w:tc>
        <w:tc>
          <w:tcPr>
            <w:tcW w:type="dxa" w:w="3456"/>
            <w:tcMar>
              <w:top w:w="80" w:type="dxa"/>
              <w:start w:w="105" w:type="dxa"/>
              <w:bottom w:w="80" w:type="dxa"/>
              <w:end w:w="105" w:type="dxa"/>
            </w:tcMar>
            <w:vAlign w:val="center"/>
          </w:tcPr>
          <w:p>
            <w:pPr>
              <w:spacing w:after="0"/>
            </w:pPr>
            <w:r>
              <w:rPr>
                <w:sz w:val="17"/>
              </w:rPr>
              <w:t>No release blocker</w:t>
            </w:r>
          </w:p>
        </w:tc>
      </w:tr>
      <w:tr>
        <w:trPr>
          <w:cantSplit w:val="true"/>
        </w:trPr>
        <w:tc>
          <w:tcPr>
            <w:tcW w:type="dxa" w:w="1440"/>
            <w:tcMar>
              <w:top w:w="80" w:type="dxa"/>
              <w:start w:w="105" w:type="dxa"/>
              <w:bottom w:w="80" w:type="dxa"/>
              <w:end w:w="105" w:type="dxa"/>
            </w:tcMar>
            <w:vAlign w:val="center"/>
          </w:tcPr>
          <w:p>
            <w:pPr>
              <w:spacing w:after="0"/>
            </w:pPr>
            <w:r>
              <w:rPr>
                <w:sz w:val="17"/>
              </w:rPr>
              <w:t>IMP-1008</w:t>
            </w:r>
          </w:p>
        </w:tc>
        <w:tc>
          <w:tcPr>
            <w:tcW w:type="dxa" w:w="4464"/>
            <w:tcMar>
              <w:top w:w="80" w:type="dxa"/>
              <w:start w:w="105" w:type="dxa"/>
              <w:bottom w:w="80" w:type="dxa"/>
              <w:end w:w="105" w:type="dxa"/>
            </w:tcMar>
            <w:vAlign w:val="center"/>
          </w:tcPr>
          <w:p>
            <w:pPr>
              <w:spacing w:after="0"/>
            </w:pPr>
            <w:r>
              <w:rPr>
                <w:sz w:val="17"/>
              </w:rPr>
              <w:t>Product/Engineering/QA/Security/Ops approval</w:t>
            </w:r>
          </w:p>
        </w:tc>
        <w:tc>
          <w:tcPr>
            <w:tcW w:type="dxa" w:w="3456"/>
            <w:tcMar>
              <w:top w:w="80" w:type="dxa"/>
              <w:start w:w="105" w:type="dxa"/>
              <w:bottom w:w="80" w:type="dxa"/>
              <w:end w:w="105" w:type="dxa"/>
            </w:tcMar>
            <w:vAlign w:val="center"/>
          </w:tcPr>
          <w:p>
            <w:pPr>
              <w:spacing w:after="0"/>
            </w:pPr>
            <w:r>
              <w:rPr>
                <w:sz w:val="17"/>
              </w:rPr>
              <w:t>Signed release gate and known limitations</w:t>
            </w:r>
          </w:p>
        </w:tc>
      </w:tr>
    </w:tbl>
    <w:p>
      <w:pPr>
        <w:spacing w:after="20"/>
      </w:pPr>
    </w:p>
    <w:p>
      <w:pPr>
        <w:pStyle w:val="Heading1"/>
        <w:keepNext/>
      </w:pPr>
      <w:r>
        <w:t>20. Cross-Cutting Backlog</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1800"/>
            <w:shd w:fill="17365D"/>
            <w:tcMar>
              <w:top w:w="80" w:type="dxa"/>
              <w:start w:w="105" w:type="dxa"/>
              <w:bottom w:w="80" w:type="dxa"/>
              <w:end w:w="105" w:type="dxa"/>
            </w:tcMar>
          </w:tcPr>
          <w:p>
            <w:r>
              <w:rPr>
                <w:b/>
                <w:color w:val="FFFFFF"/>
                <w:sz w:val="17"/>
              </w:rPr>
              <w:t>Backlog family</w:t>
            </w:r>
          </w:p>
        </w:tc>
        <w:tc>
          <w:tcPr>
            <w:tcW w:type="dxa" w:w="7560"/>
            <w:shd w:fill="17365D"/>
            <w:tcMar>
              <w:top w:w="80" w:type="dxa"/>
              <w:start w:w="105" w:type="dxa"/>
              <w:bottom w:w="80" w:type="dxa"/>
              <w:end w:w="105" w:type="dxa"/>
            </w:tcMar>
          </w:tcPr>
          <w:p>
            <w:r>
              <w:rPr>
                <w:b/>
                <w:color w:val="FFFFFF"/>
                <w:sz w:val="17"/>
              </w:rPr>
              <w:t>Recurring requirements</w:t>
            </w:r>
          </w:p>
        </w:tc>
      </w:tr>
      <w:tr>
        <w:trPr>
          <w:cantSplit w:val="true"/>
        </w:trPr>
        <w:tc>
          <w:tcPr>
            <w:tcW w:type="dxa" w:w="1800"/>
            <w:tcMar>
              <w:top w:w="80" w:type="dxa"/>
              <w:start w:w="105" w:type="dxa"/>
              <w:bottom w:w="80" w:type="dxa"/>
              <w:end w:w="105" w:type="dxa"/>
            </w:tcMar>
            <w:vAlign w:val="center"/>
          </w:tcPr>
          <w:p>
            <w:pPr>
              <w:spacing w:after="0"/>
            </w:pPr>
            <w:r>
              <w:rPr>
                <w:sz w:val="17"/>
              </w:rPr>
              <w:t>SEC</w:t>
            </w:r>
          </w:p>
        </w:tc>
        <w:tc>
          <w:tcPr>
            <w:tcW w:type="dxa" w:w="7560"/>
            <w:tcMar>
              <w:top w:w="80" w:type="dxa"/>
              <w:start w:w="105" w:type="dxa"/>
              <w:bottom w:w="80" w:type="dxa"/>
              <w:end w:w="105" w:type="dxa"/>
            </w:tcMar>
            <w:vAlign w:val="center"/>
          </w:tcPr>
          <w:p>
            <w:pPr>
              <w:spacing w:after="0"/>
            </w:pPr>
            <w:r>
              <w:rPr>
                <w:sz w:val="17"/>
              </w:rPr>
              <w:t>Threat modeling, authorization matrix, secure coding, scans, SBOM, redaction, penetration findings</w:t>
            </w:r>
          </w:p>
        </w:tc>
      </w:tr>
      <w:tr>
        <w:trPr>
          <w:cantSplit w:val="true"/>
        </w:trPr>
        <w:tc>
          <w:tcPr>
            <w:tcW w:type="dxa" w:w="1800"/>
            <w:tcMar>
              <w:top w:w="80" w:type="dxa"/>
              <w:start w:w="105" w:type="dxa"/>
              <w:bottom w:w="80" w:type="dxa"/>
              <w:end w:w="105" w:type="dxa"/>
            </w:tcMar>
            <w:vAlign w:val="center"/>
          </w:tcPr>
          <w:p>
            <w:pPr>
              <w:spacing w:after="0"/>
            </w:pPr>
            <w:r>
              <w:rPr>
                <w:sz w:val="17"/>
              </w:rPr>
              <w:t>QA</w:t>
            </w:r>
          </w:p>
        </w:tc>
        <w:tc>
          <w:tcPr>
            <w:tcW w:type="dxa" w:w="7560"/>
            <w:tcMar>
              <w:top w:w="80" w:type="dxa"/>
              <w:start w:w="105" w:type="dxa"/>
              <w:bottom w:w="80" w:type="dxa"/>
              <w:end w:w="105" w:type="dxa"/>
            </w:tcMar>
            <w:vAlign w:val="center"/>
          </w:tcPr>
          <w:p>
            <w:pPr>
              <w:spacing w:after="0"/>
            </w:pPr>
            <w:r>
              <w:rPr>
                <w:sz w:val="17"/>
              </w:rPr>
              <w:t>Unit/contract/integration/E2E/accessibility/performance/resilience test automation and data</w:t>
            </w:r>
          </w:p>
        </w:tc>
      </w:tr>
      <w:tr>
        <w:trPr>
          <w:cantSplit w:val="true"/>
        </w:trPr>
        <w:tc>
          <w:tcPr>
            <w:tcW w:type="dxa" w:w="1800"/>
            <w:tcMar>
              <w:top w:w="80" w:type="dxa"/>
              <w:start w:w="105" w:type="dxa"/>
              <w:bottom w:w="80" w:type="dxa"/>
              <w:end w:w="105" w:type="dxa"/>
            </w:tcMar>
            <w:vAlign w:val="center"/>
          </w:tcPr>
          <w:p>
            <w:pPr>
              <w:spacing w:after="0"/>
            </w:pPr>
            <w:r>
              <w:rPr>
                <w:sz w:val="17"/>
              </w:rPr>
              <w:t>OBS</w:t>
            </w:r>
          </w:p>
        </w:tc>
        <w:tc>
          <w:tcPr>
            <w:tcW w:type="dxa" w:w="7560"/>
            <w:tcMar>
              <w:top w:w="80" w:type="dxa"/>
              <w:start w:w="105" w:type="dxa"/>
              <w:bottom w:w="80" w:type="dxa"/>
              <w:end w:w="105" w:type="dxa"/>
            </w:tcMar>
            <w:vAlign w:val="center"/>
          </w:tcPr>
          <w:p>
            <w:pPr>
              <w:spacing w:after="0"/>
            </w:pPr>
            <w:r>
              <w:rPr>
                <w:sz w:val="17"/>
              </w:rPr>
              <w:t>Correlation, structured logs, metrics, traces, dashboards, alerts, secret-safe diagnostics</w:t>
            </w:r>
          </w:p>
        </w:tc>
      </w:tr>
      <w:tr>
        <w:trPr>
          <w:cantSplit w:val="true"/>
        </w:trPr>
        <w:tc>
          <w:tcPr>
            <w:tcW w:type="dxa" w:w="1800"/>
            <w:tcMar>
              <w:top w:w="80" w:type="dxa"/>
              <w:start w:w="105" w:type="dxa"/>
              <w:bottom w:w="80" w:type="dxa"/>
              <w:end w:w="105" w:type="dxa"/>
            </w:tcMar>
            <w:vAlign w:val="center"/>
          </w:tcPr>
          <w:p>
            <w:pPr>
              <w:spacing w:after="0"/>
            </w:pPr>
            <w:r>
              <w:rPr>
                <w:sz w:val="17"/>
              </w:rPr>
              <w:t>DOC</w:t>
            </w:r>
          </w:p>
        </w:tc>
        <w:tc>
          <w:tcPr>
            <w:tcW w:type="dxa" w:w="7560"/>
            <w:tcMar>
              <w:top w:w="80" w:type="dxa"/>
              <w:start w:w="105" w:type="dxa"/>
              <w:bottom w:w="80" w:type="dxa"/>
              <w:end w:w="105" w:type="dxa"/>
            </w:tcMar>
            <w:vAlign w:val="center"/>
          </w:tcPr>
          <w:p>
            <w:pPr>
              <w:spacing w:after="0"/>
            </w:pPr>
            <w:r>
              <w:rPr>
                <w:sz w:val="17"/>
              </w:rPr>
              <w:t>Developer, API, installation, administration, provider permissions, troubleshooting, recovery, release notes</w:t>
            </w:r>
          </w:p>
        </w:tc>
      </w:tr>
      <w:tr>
        <w:trPr>
          <w:cantSplit w:val="true"/>
        </w:trPr>
        <w:tc>
          <w:tcPr>
            <w:tcW w:type="dxa" w:w="1800"/>
            <w:tcMar>
              <w:top w:w="80" w:type="dxa"/>
              <w:start w:w="105" w:type="dxa"/>
              <w:bottom w:w="80" w:type="dxa"/>
              <w:end w:w="105" w:type="dxa"/>
            </w:tcMar>
            <w:vAlign w:val="center"/>
          </w:tcPr>
          <w:p>
            <w:pPr>
              <w:spacing w:after="0"/>
            </w:pPr>
            <w:r>
              <w:rPr>
                <w:sz w:val="17"/>
              </w:rPr>
              <w:t>DATA</w:t>
            </w:r>
          </w:p>
        </w:tc>
        <w:tc>
          <w:tcPr>
            <w:tcW w:type="dxa" w:w="7560"/>
            <w:tcMar>
              <w:top w:w="80" w:type="dxa"/>
              <w:start w:w="105" w:type="dxa"/>
              <w:bottom w:w="80" w:type="dxa"/>
              <w:end w:w="105" w:type="dxa"/>
            </w:tcMar>
            <w:vAlign w:val="center"/>
          </w:tcPr>
          <w:p>
            <w:pPr>
              <w:spacing w:after="0"/>
            </w:pPr>
            <w:r>
              <w:rPr>
                <w:sz w:val="17"/>
              </w:rPr>
              <w:t>Migrations, indexes, query plans, retention, backup/restore, compatibility</w:t>
            </w:r>
          </w:p>
        </w:tc>
      </w:tr>
      <w:tr>
        <w:trPr>
          <w:cantSplit w:val="true"/>
        </w:trPr>
        <w:tc>
          <w:tcPr>
            <w:tcW w:type="dxa" w:w="1800"/>
            <w:tcMar>
              <w:top w:w="80" w:type="dxa"/>
              <w:start w:w="105" w:type="dxa"/>
              <w:bottom w:w="80" w:type="dxa"/>
              <w:end w:w="105" w:type="dxa"/>
            </w:tcMar>
            <w:vAlign w:val="center"/>
          </w:tcPr>
          <w:p>
            <w:pPr>
              <w:spacing w:after="0"/>
            </w:pPr>
            <w:r>
              <w:rPr>
                <w:sz w:val="17"/>
              </w:rPr>
              <w:t>UX</w:t>
            </w:r>
          </w:p>
        </w:tc>
        <w:tc>
          <w:tcPr>
            <w:tcW w:type="dxa" w:w="7560"/>
            <w:tcMar>
              <w:top w:w="80" w:type="dxa"/>
              <w:start w:w="105" w:type="dxa"/>
              <w:bottom w:w="80" w:type="dxa"/>
              <w:end w:w="105" w:type="dxa"/>
            </w:tcMar>
            <w:vAlign w:val="center"/>
          </w:tcPr>
          <w:p>
            <w:pPr>
              <w:spacing w:after="0"/>
            </w:pPr>
            <w:r>
              <w:rPr>
                <w:sz w:val="17"/>
              </w:rPr>
              <w:t>Interaction specs, design tokens, responsiveness, accessibility, usability evidence</w:t>
            </w:r>
          </w:p>
        </w:tc>
      </w:tr>
      <w:tr>
        <w:trPr>
          <w:cantSplit w:val="true"/>
        </w:trPr>
        <w:tc>
          <w:tcPr>
            <w:tcW w:type="dxa" w:w="1800"/>
            <w:tcMar>
              <w:top w:w="80" w:type="dxa"/>
              <w:start w:w="105" w:type="dxa"/>
              <w:bottom w:w="80" w:type="dxa"/>
              <w:end w:w="105" w:type="dxa"/>
            </w:tcMar>
            <w:vAlign w:val="center"/>
          </w:tcPr>
          <w:p>
            <w:pPr>
              <w:spacing w:after="0"/>
            </w:pPr>
            <w:r>
              <w:rPr>
                <w:sz w:val="17"/>
              </w:rPr>
              <w:t>OPS</w:t>
            </w:r>
          </w:p>
        </w:tc>
        <w:tc>
          <w:tcPr>
            <w:tcW w:type="dxa" w:w="7560"/>
            <w:tcMar>
              <w:top w:w="80" w:type="dxa"/>
              <w:start w:w="105" w:type="dxa"/>
              <w:bottom w:w="80" w:type="dxa"/>
              <w:end w:w="105" w:type="dxa"/>
            </w:tcMar>
            <w:vAlign w:val="center"/>
          </w:tcPr>
          <w:p>
            <w:pPr>
              <w:spacing w:after="0"/>
            </w:pPr>
            <w:r>
              <w:rPr>
                <w:sz w:val="17"/>
              </w:rPr>
              <w:t>Deployment manifests, configuration validation, certificates, maintenance/upgrade, incident runbooks</w:t>
            </w:r>
          </w:p>
        </w:tc>
      </w:tr>
    </w:tbl>
    <w:p>
      <w:pPr>
        <w:spacing w:after="20"/>
      </w:pPr>
    </w:p>
    <w:p>
      <w:pPr>
        <w:pStyle w:val="Heading1"/>
        <w:keepNext/>
      </w:pPr>
      <w:r>
        <w:t>21. Test Execution Matrix</w:t>
      </w:r>
    </w:p>
    <w:tbl>
      <w:tblPr>
        <w:tblStyle w:val="TableGrid"/>
        <w:tblW w:type="auto" w:w="0"/>
        <w:tblLayout w:type="fixed"/>
        <w:tblLook w:firstColumn="1" w:firstRow="1" w:lastColumn="0" w:lastRow="0" w:noHBand="0" w:noVBand="1" w:val="04A0"/>
      </w:tblPr>
      <w:tblGrid>
        <w:gridCol w:w="2441"/>
        <w:gridCol w:w="2441"/>
        <w:gridCol w:w="2441"/>
        <w:gridCol w:w="2441"/>
      </w:tblGrid>
      <w:tr>
        <w:trPr>
          <w:tblHeader w:val="true"/>
        </w:trPr>
        <w:tc>
          <w:tcPr>
            <w:tcW w:type="dxa" w:w="3240"/>
            <w:shd w:fill="17365D"/>
            <w:tcMar>
              <w:top w:w="80" w:type="dxa"/>
              <w:start w:w="105" w:type="dxa"/>
              <w:bottom w:w="80" w:type="dxa"/>
              <w:end w:w="105" w:type="dxa"/>
            </w:tcMar>
          </w:tcPr>
          <w:p>
            <w:r>
              <w:rPr>
                <w:b/>
                <w:color w:val="FFFFFF"/>
                <w:sz w:val="17"/>
              </w:rPr>
              <w:t>Test level</w:t>
            </w:r>
          </w:p>
        </w:tc>
        <w:tc>
          <w:tcPr>
            <w:tcW w:type="dxa" w:w="1440"/>
            <w:shd w:fill="17365D"/>
            <w:tcMar>
              <w:top w:w="80" w:type="dxa"/>
              <w:start w:w="105" w:type="dxa"/>
              <w:bottom w:w="80" w:type="dxa"/>
              <w:end w:w="105" w:type="dxa"/>
            </w:tcMar>
          </w:tcPr>
          <w:p>
            <w:r>
              <w:rPr>
                <w:b/>
                <w:color w:val="FFFFFF"/>
                <w:sz w:val="17"/>
              </w:rPr>
              <w:t>Every PR</w:t>
            </w:r>
          </w:p>
        </w:tc>
        <w:tc>
          <w:tcPr>
            <w:tcW w:type="dxa" w:w="1440"/>
            <w:shd w:fill="17365D"/>
            <w:tcMar>
              <w:top w:w="80" w:type="dxa"/>
              <w:start w:w="105" w:type="dxa"/>
              <w:bottom w:w="80" w:type="dxa"/>
              <w:end w:w="105" w:type="dxa"/>
            </w:tcMar>
          </w:tcPr>
          <w:p>
            <w:r>
              <w:rPr>
                <w:b/>
                <w:color w:val="FFFFFF"/>
                <w:sz w:val="17"/>
              </w:rPr>
              <w:t>Nightly</w:t>
            </w:r>
          </w:p>
        </w:tc>
        <w:tc>
          <w:tcPr>
            <w:tcW w:type="dxa" w:w="3240"/>
            <w:shd w:fill="17365D"/>
            <w:tcMar>
              <w:top w:w="80" w:type="dxa"/>
              <w:start w:w="105" w:type="dxa"/>
              <w:bottom w:w="80" w:type="dxa"/>
              <w:end w:w="105" w:type="dxa"/>
            </w:tcMar>
          </w:tcPr>
          <w:p>
            <w:r>
              <w:rPr>
                <w:b/>
                <w:color w:val="FFFFFF"/>
                <w:sz w:val="17"/>
              </w:rPr>
              <w:t>Milestone / RC</w:t>
            </w:r>
          </w:p>
        </w:tc>
      </w:tr>
      <w:tr>
        <w:trPr>
          <w:cantSplit w:val="true"/>
        </w:trPr>
        <w:tc>
          <w:tcPr>
            <w:tcW w:type="dxa" w:w="3240"/>
            <w:tcMar>
              <w:top w:w="80" w:type="dxa"/>
              <w:start w:w="105" w:type="dxa"/>
              <w:bottom w:w="80" w:type="dxa"/>
              <w:end w:w="105" w:type="dxa"/>
            </w:tcMar>
            <w:vAlign w:val="center"/>
          </w:tcPr>
          <w:p>
            <w:pPr>
              <w:spacing w:after="0"/>
            </w:pPr>
            <w:r>
              <w:rPr>
                <w:sz w:val="17"/>
              </w:rPr>
              <w:t>Unit</w:t>
            </w:r>
          </w:p>
        </w:tc>
        <w:tc>
          <w:tcPr>
            <w:tcW w:type="dxa" w:w="1440"/>
            <w:tcMar>
              <w:top w:w="80" w:type="dxa"/>
              <w:start w:w="105" w:type="dxa"/>
              <w:bottom w:w="80" w:type="dxa"/>
              <w:end w:w="105" w:type="dxa"/>
            </w:tcMar>
            <w:vAlign w:val="center"/>
          </w:tcPr>
          <w:p>
            <w:pPr>
              <w:spacing w:after="0"/>
            </w:pPr>
            <w:r>
              <w:rPr>
                <w:sz w:val="17"/>
              </w:rPr>
              <w:t>Yes</w:t>
            </w:r>
          </w:p>
        </w:tc>
        <w:tc>
          <w:tcPr>
            <w:tcW w:type="dxa" w:w="1440"/>
            <w:tcMar>
              <w:top w:w="80" w:type="dxa"/>
              <w:start w:w="105" w:type="dxa"/>
              <w:bottom w:w="80" w:type="dxa"/>
              <w:end w:w="105" w:type="dxa"/>
            </w:tcMar>
            <w:vAlign w:val="center"/>
          </w:tcPr>
          <w:p>
            <w:pPr>
              <w:spacing w:after="0"/>
            </w:pPr>
            <w:r>
              <w:rPr>
                <w:sz w:val="17"/>
              </w:rPr>
              <w:t>Yes</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Architecture/module boundaries</w:t>
            </w:r>
          </w:p>
        </w:tc>
        <w:tc>
          <w:tcPr>
            <w:tcW w:type="dxa" w:w="1440"/>
            <w:tcMar>
              <w:top w:w="80" w:type="dxa"/>
              <w:start w:w="105" w:type="dxa"/>
              <w:bottom w:w="80" w:type="dxa"/>
              <w:end w:w="105" w:type="dxa"/>
            </w:tcMar>
            <w:vAlign w:val="center"/>
          </w:tcPr>
          <w:p>
            <w:pPr>
              <w:spacing w:after="0"/>
            </w:pPr>
            <w:r>
              <w:rPr>
                <w:sz w:val="17"/>
              </w:rPr>
              <w:t>Yes</w:t>
            </w:r>
          </w:p>
        </w:tc>
        <w:tc>
          <w:tcPr>
            <w:tcW w:type="dxa" w:w="1440"/>
            <w:tcMar>
              <w:top w:w="80" w:type="dxa"/>
              <w:start w:w="105" w:type="dxa"/>
              <w:bottom w:w="80" w:type="dxa"/>
              <w:end w:w="105" w:type="dxa"/>
            </w:tcMar>
            <w:vAlign w:val="center"/>
          </w:tcPr>
          <w:p>
            <w:pPr>
              <w:spacing w:after="0"/>
            </w:pPr>
            <w:r>
              <w:rPr>
                <w:sz w:val="17"/>
              </w:rPr>
              <w:t>Yes</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OpenAPI/message compatibility</w:t>
            </w:r>
          </w:p>
        </w:tc>
        <w:tc>
          <w:tcPr>
            <w:tcW w:type="dxa" w:w="1440"/>
            <w:tcMar>
              <w:top w:w="80" w:type="dxa"/>
              <w:start w:w="105" w:type="dxa"/>
              <w:bottom w:w="80" w:type="dxa"/>
              <w:end w:w="105" w:type="dxa"/>
            </w:tcMar>
            <w:vAlign w:val="center"/>
          </w:tcPr>
          <w:p>
            <w:pPr>
              <w:spacing w:after="0"/>
            </w:pPr>
            <w:r>
              <w:rPr>
                <w:sz w:val="17"/>
              </w:rPr>
              <w:t>Yes</w:t>
            </w:r>
          </w:p>
        </w:tc>
        <w:tc>
          <w:tcPr>
            <w:tcW w:type="dxa" w:w="1440"/>
            <w:tcMar>
              <w:top w:w="80" w:type="dxa"/>
              <w:start w:w="105" w:type="dxa"/>
              <w:bottom w:w="80" w:type="dxa"/>
              <w:end w:w="105" w:type="dxa"/>
            </w:tcMar>
            <w:vAlign w:val="center"/>
          </w:tcPr>
          <w:p>
            <w:pPr>
              <w:spacing w:after="0"/>
            </w:pPr>
            <w:r>
              <w:rPr>
                <w:sz w:val="17"/>
              </w:rPr>
              <w:t>Yes</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Migration from empty</w:t>
            </w:r>
          </w:p>
        </w:tc>
        <w:tc>
          <w:tcPr>
            <w:tcW w:type="dxa" w:w="1440"/>
            <w:tcMar>
              <w:top w:w="80" w:type="dxa"/>
              <w:start w:w="105" w:type="dxa"/>
              <w:bottom w:w="80" w:type="dxa"/>
              <w:end w:w="105" w:type="dxa"/>
            </w:tcMar>
            <w:vAlign w:val="center"/>
          </w:tcPr>
          <w:p>
            <w:pPr>
              <w:spacing w:after="0"/>
            </w:pPr>
            <w:r>
              <w:rPr>
                <w:sz w:val="17"/>
              </w:rPr>
              <w:t>Yes</w:t>
            </w:r>
          </w:p>
        </w:tc>
        <w:tc>
          <w:tcPr>
            <w:tcW w:type="dxa" w:w="1440"/>
            <w:tcMar>
              <w:top w:w="80" w:type="dxa"/>
              <w:start w:w="105" w:type="dxa"/>
              <w:bottom w:w="80" w:type="dxa"/>
              <w:end w:w="105" w:type="dxa"/>
            </w:tcMar>
            <w:vAlign w:val="center"/>
          </w:tcPr>
          <w:p>
            <w:pPr>
              <w:spacing w:after="0"/>
            </w:pPr>
            <w:r>
              <w:rPr>
                <w:sz w:val="17"/>
              </w:rPr>
              <w:t>Yes</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Migration from prior release</w:t>
            </w:r>
          </w:p>
        </w:tc>
        <w:tc>
          <w:tcPr>
            <w:tcW w:type="dxa" w:w="1440"/>
            <w:tcMar>
              <w:top w:w="80" w:type="dxa"/>
              <w:start w:w="105" w:type="dxa"/>
              <w:bottom w:w="80" w:type="dxa"/>
              <w:end w:w="105" w:type="dxa"/>
            </w:tcMar>
            <w:vAlign w:val="center"/>
          </w:tcPr>
          <w:p>
            <w:pPr>
              <w:spacing w:after="0"/>
            </w:pPr>
            <w:r>
              <w:rPr>
                <w:sz w:val="17"/>
              </w:rPr>
              <w:t>No</w:t>
            </w:r>
          </w:p>
        </w:tc>
        <w:tc>
          <w:tcPr>
            <w:tcW w:type="dxa" w:w="1440"/>
            <w:tcMar>
              <w:top w:w="80" w:type="dxa"/>
              <w:start w:w="105" w:type="dxa"/>
              <w:bottom w:w="80" w:type="dxa"/>
              <w:end w:w="105" w:type="dxa"/>
            </w:tcMar>
            <w:vAlign w:val="center"/>
          </w:tcPr>
          <w:p>
            <w:pPr>
              <w:spacing w:after="0"/>
            </w:pPr>
            <w:r>
              <w:rPr>
                <w:sz w:val="17"/>
              </w:rPr>
              <w:t>Yes</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Database/broker integration</w:t>
            </w:r>
          </w:p>
        </w:tc>
        <w:tc>
          <w:tcPr>
            <w:tcW w:type="dxa" w:w="1440"/>
            <w:tcMar>
              <w:top w:w="80" w:type="dxa"/>
              <w:start w:w="105" w:type="dxa"/>
              <w:bottom w:w="80" w:type="dxa"/>
              <w:end w:w="105" w:type="dxa"/>
            </w:tcMar>
            <w:vAlign w:val="center"/>
          </w:tcPr>
          <w:p>
            <w:pPr>
              <w:spacing w:after="0"/>
            </w:pPr>
            <w:r>
              <w:rPr>
                <w:sz w:val="17"/>
              </w:rPr>
              <w:t>Selected</w:t>
            </w:r>
          </w:p>
        </w:tc>
        <w:tc>
          <w:tcPr>
            <w:tcW w:type="dxa" w:w="1440"/>
            <w:tcMar>
              <w:top w:w="80" w:type="dxa"/>
              <w:start w:w="105" w:type="dxa"/>
              <w:bottom w:w="80" w:type="dxa"/>
              <w:end w:w="105" w:type="dxa"/>
            </w:tcMar>
            <w:vAlign w:val="center"/>
          </w:tcPr>
          <w:p>
            <w:pPr>
              <w:spacing w:after="0"/>
            </w:pPr>
            <w:r>
              <w:rPr>
                <w:sz w:val="17"/>
              </w:rPr>
              <w:t>Yes</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Provider mock contract</w:t>
            </w:r>
          </w:p>
        </w:tc>
        <w:tc>
          <w:tcPr>
            <w:tcW w:type="dxa" w:w="1440"/>
            <w:tcMar>
              <w:top w:w="80" w:type="dxa"/>
              <w:start w:w="105" w:type="dxa"/>
              <w:bottom w:w="80" w:type="dxa"/>
              <w:end w:w="105" w:type="dxa"/>
            </w:tcMar>
            <w:vAlign w:val="center"/>
          </w:tcPr>
          <w:p>
            <w:pPr>
              <w:spacing w:after="0"/>
            </w:pPr>
            <w:r>
              <w:rPr>
                <w:sz w:val="17"/>
              </w:rPr>
              <w:t>Yes</w:t>
            </w:r>
          </w:p>
        </w:tc>
        <w:tc>
          <w:tcPr>
            <w:tcW w:type="dxa" w:w="1440"/>
            <w:tcMar>
              <w:top w:w="80" w:type="dxa"/>
              <w:start w:w="105" w:type="dxa"/>
              <w:bottom w:w="80" w:type="dxa"/>
              <w:end w:w="105" w:type="dxa"/>
            </w:tcMar>
            <w:vAlign w:val="center"/>
          </w:tcPr>
          <w:p>
            <w:pPr>
              <w:spacing w:after="0"/>
            </w:pPr>
            <w:r>
              <w:rPr>
                <w:sz w:val="17"/>
              </w:rPr>
              <w:t>Yes</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Live provider integration</w:t>
            </w:r>
          </w:p>
        </w:tc>
        <w:tc>
          <w:tcPr>
            <w:tcW w:type="dxa" w:w="1440"/>
            <w:tcMar>
              <w:top w:w="80" w:type="dxa"/>
              <w:start w:w="105" w:type="dxa"/>
              <w:bottom w:w="80" w:type="dxa"/>
              <w:end w:w="105" w:type="dxa"/>
            </w:tcMar>
            <w:vAlign w:val="center"/>
          </w:tcPr>
          <w:p>
            <w:pPr>
              <w:spacing w:after="0"/>
            </w:pPr>
            <w:r>
              <w:rPr>
                <w:sz w:val="17"/>
              </w:rPr>
              <w:t>No</w:t>
            </w:r>
          </w:p>
        </w:tc>
        <w:tc>
          <w:tcPr>
            <w:tcW w:type="dxa" w:w="1440"/>
            <w:tcMar>
              <w:top w:w="80" w:type="dxa"/>
              <w:start w:w="105" w:type="dxa"/>
              <w:bottom w:w="80" w:type="dxa"/>
              <w:end w:w="105" w:type="dxa"/>
            </w:tcMar>
            <w:vAlign w:val="center"/>
          </w:tcPr>
          <w:p>
            <w:pPr>
              <w:spacing w:after="0"/>
            </w:pPr>
            <w:r>
              <w:rPr>
                <w:sz w:val="17"/>
              </w:rPr>
              <w:t>Scheduled</w:t>
            </w:r>
          </w:p>
        </w:tc>
        <w:tc>
          <w:tcPr>
            <w:tcW w:type="dxa" w:w="3240"/>
            <w:tcMar>
              <w:top w:w="80" w:type="dxa"/>
              <w:start w:w="105" w:type="dxa"/>
              <w:bottom w:w="80" w:type="dxa"/>
              <w:end w:w="105" w:type="dxa"/>
            </w:tcMar>
            <w:vAlign w:val="center"/>
          </w:tcPr>
          <w:p>
            <w:pPr>
              <w:spacing w:after="0"/>
            </w:pPr>
            <w:r>
              <w:rPr>
                <w:sz w:val="17"/>
              </w:rPr>
              <w:t>Yes</w:t>
            </w:r>
          </w:p>
        </w:tc>
      </w:tr>
      <w:tr>
        <w:trPr>
          <w:cantSplit w:val="true"/>
        </w:trPr>
        <w:tc>
          <w:tcPr>
            <w:tcW w:type="dxa" w:w="3240"/>
            <w:tcMar>
              <w:top w:w="80" w:type="dxa"/>
              <w:start w:w="105" w:type="dxa"/>
              <w:bottom w:w="80" w:type="dxa"/>
              <w:end w:w="105" w:type="dxa"/>
            </w:tcMar>
            <w:vAlign w:val="center"/>
          </w:tcPr>
          <w:p>
            <w:pPr>
              <w:spacing w:after="0"/>
            </w:pPr>
            <w:r>
              <w:rPr>
                <w:sz w:val="17"/>
              </w:rPr>
              <w:t>End-to-end UI</w:t>
            </w:r>
          </w:p>
        </w:tc>
        <w:tc>
          <w:tcPr>
            <w:tcW w:type="dxa" w:w="1440"/>
            <w:tcMar>
              <w:top w:w="80" w:type="dxa"/>
              <w:start w:w="105" w:type="dxa"/>
              <w:bottom w:w="80" w:type="dxa"/>
              <w:end w:w="105" w:type="dxa"/>
            </w:tcMar>
            <w:vAlign w:val="center"/>
          </w:tcPr>
          <w:p>
            <w:pPr>
              <w:spacing w:after="0"/>
            </w:pPr>
            <w:r>
              <w:rPr>
                <w:sz w:val="17"/>
              </w:rPr>
              <w:t>Smoke</w:t>
            </w:r>
          </w:p>
        </w:tc>
        <w:tc>
          <w:tcPr>
            <w:tcW w:type="dxa" w:w="1440"/>
            <w:tcMar>
              <w:top w:w="80" w:type="dxa"/>
              <w:start w:w="105" w:type="dxa"/>
              <w:bottom w:w="80" w:type="dxa"/>
              <w:end w:w="105" w:type="dxa"/>
            </w:tcMar>
            <w:vAlign w:val="center"/>
          </w:tcPr>
          <w:p>
            <w:pPr>
              <w:spacing w:after="0"/>
            </w:pPr>
            <w:r>
              <w:rPr>
                <w:sz w:val="17"/>
              </w:rPr>
              <w:t>Full</w:t>
            </w:r>
          </w:p>
        </w:tc>
        <w:tc>
          <w:tcPr>
            <w:tcW w:type="dxa" w:w="3240"/>
            <w:tcMar>
              <w:top w:w="80" w:type="dxa"/>
              <w:start w:w="105" w:type="dxa"/>
              <w:bottom w:w="80" w:type="dxa"/>
              <w:end w:w="105" w:type="dxa"/>
            </w:tcMar>
            <w:vAlign w:val="center"/>
          </w:tcPr>
          <w:p>
            <w:pPr>
              <w:spacing w:after="0"/>
            </w:pPr>
            <w:r>
              <w:rPr>
                <w:sz w:val="17"/>
              </w:rPr>
              <w:t>Full</w:t>
            </w:r>
          </w:p>
        </w:tc>
      </w:tr>
      <w:tr>
        <w:trPr>
          <w:cantSplit w:val="true"/>
        </w:trPr>
        <w:tc>
          <w:tcPr>
            <w:tcW w:type="dxa" w:w="3240"/>
            <w:tcMar>
              <w:top w:w="80" w:type="dxa"/>
              <w:start w:w="105" w:type="dxa"/>
              <w:bottom w:w="80" w:type="dxa"/>
              <w:end w:w="105" w:type="dxa"/>
            </w:tcMar>
            <w:vAlign w:val="center"/>
          </w:tcPr>
          <w:p>
            <w:pPr>
              <w:spacing w:after="0"/>
            </w:pPr>
            <w:r>
              <w:rPr>
                <w:sz w:val="17"/>
              </w:rPr>
              <w:t>Security dynamic/authorization</w:t>
            </w:r>
          </w:p>
        </w:tc>
        <w:tc>
          <w:tcPr>
            <w:tcW w:type="dxa" w:w="1440"/>
            <w:tcMar>
              <w:top w:w="80" w:type="dxa"/>
              <w:start w:w="105" w:type="dxa"/>
              <w:bottom w:w="80" w:type="dxa"/>
              <w:end w:w="105" w:type="dxa"/>
            </w:tcMar>
            <w:vAlign w:val="center"/>
          </w:tcPr>
          <w:p>
            <w:pPr>
              <w:spacing w:after="0"/>
            </w:pPr>
            <w:r>
              <w:rPr>
                <w:sz w:val="17"/>
              </w:rPr>
              <w:t>Selected</w:t>
            </w:r>
          </w:p>
        </w:tc>
        <w:tc>
          <w:tcPr>
            <w:tcW w:type="dxa" w:w="1440"/>
            <w:tcMar>
              <w:top w:w="80" w:type="dxa"/>
              <w:start w:w="105" w:type="dxa"/>
              <w:bottom w:w="80" w:type="dxa"/>
              <w:end w:w="105" w:type="dxa"/>
            </w:tcMar>
            <w:vAlign w:val="center"/>
          </w:tcPr>
          <w:p>
            <w:pPr>
              <w:spacing w:after="0"/>
            </w:pPr>
            <w:r>
              <w:rPr>
                <w:sz w:val="17"/>
              </w:rPr>
              <w:t>Full</w:t>
            </w:r>
          </w:p>
        </w:tc>
        <w:tc>
          <w:tcPr>
            <w:tcW w:type="dxa" w:w="3240"/>
            <w:tcMar>
              <w:top w:w="80" w:type="dxa"/>
              <w:start w:w="105" w:type="dxa"/>
              <w:bottom w:w="80" w:type="dxa"/>
              <w:end w:w="105" w:type="dxa"/>
            </w:tcMar>
            <w:vAlign w:val="center"/>
          </w:tcPr>
          <w:p>
            <w:pPr>
              <w:spacing w:after="0"/>
            </w:pPr>
            <w:r>
              <w:rPr>
                <w:sz w:val="17"/>
              </w:rPr>
              <w:t>Full + manual</w:t>
            </w:r>
          </w:p>
        </w:tc>
      </w:tr>
      <w:tr>
        <w:trPr>
          <w:cantSplit w:val="true"/>
        </w:trPr>
        <w:tc>
          <w:tcPr>
            <w:tcW w:type="dxa" w:w="3240"/>
            <w:tcMar>
              <w:top w:w="80" w:type="dxa"/>
              <w:start w:w="105" w:type="dxa"/>
              <w:bottom w:w="80" w:type="dxa"/>
              <w:end w:w="105" w:type="dxa"/>
            </w:tcMar>
            <w:vAlign w:val="center"/>
          </w:tcPr>
          <w:p>
            <w:pPr>
              <w:spacing w:after="0"/>
            </w:pPr>
            <w:r>
              <w:rPr>
                <w:sz w:val="17"/>
              </w:rPr>
              <w:t>Accessibility</w:t>
            </w:r>
          </w:p>
        </w:tc>
        <w:tc>
          <w:tcPr>
            <w:tcW w:type="dxa" w:w="1440"/>
            <w:tcMar>
              <w:top w:w="80" w:type="dxa"/>
              <w:start w:w="105" w:type="dxa"/>
              <w:bottom w:w="80" w:type="dxa"/>
              <w:end w:w="105" w:type="dxa"/>
            </w:tcMar>
            <w:vAlign w:val="center"/>
          </w:tcPr>
          <w:p>
            <w:pPr>
              <w:spacing w:after="0"/>
            </w:pPr>
            <w:r>
              <w:rPr>
                <w:sz w:val="17"/>
              </w:rPr>
              <w:t>Static/smoke</w:t>
            </w:r>
          </w:p>
        </w:tc>
        <w:tc>
          <w:tcPr>
            <w:tcW w:type="dxa" w:w="1440"/>
            <w:tcMar>
              <w:top w:w="80" w:type="dxa"/>
              <w:start w:w="105" w:type="dxa"/>
              <w:bottom w:w="80" w:type="dxa"/>
              <w:end w:w="105" w:type="dxa"/>
            </w:tcMar>
            <w:vAlign w:val="center"/>
          </w:tcPr>
          <w:p>
            <w:pPr>
              <w:spacing w:after="0"/>
            </w:pPr>
            <w:r>
              <w:rPr>
                <w:sz w:val="17"/>
              </w:rPr>
              <w:t>Automated</w:t>
            </w:r>
          </w:p>
        </w:tc>
        <w:tc>
          <w:tcPr>
            <w:tcW w:type="dxa" w:w="3240"/>
            <w:tcMar>
              <w:top w:w="80" w:type="dxa"/>
              <w:start w:w="105" w:type="dxa"/>
              <w:bottom w:w="80" w:type="dxa"/>
              <w:end w:w="105" w:type="dxa"/>
            </w:tcMar>
            <w:vAlign w:val="center"/>
          </w:tcPr>
          <w:p>
            <w:pPr>
              <w:spacing w:after="0"/>
            </w:pPr>
            <w:r>
              <w:rPr>
                <w:sz w:val="17"/>
              </w:rPr>
              <w:t>Automated + manual</w:t>
            </w:r>
          </w:p>
        </w:tc>
      </w:tr>
      <w:tr>
        <w:trPr>
          <w:cantSplit w:val="true"/>
        </w:trPr>
        <w:tc>
          <w:tcPr>
            <w:tcW w:type="dxa" w:w="3240"/>
            <w:tcMar>
              <w:top w:w="80" w:type="dxa"/>
              <w:start w:w="105" w:type="dxa"/>
              <w:bottom w:w="80" w:type="dxa"/>
              <w:end w:w="105" w:type="dxa"/>
            </w:tcMar>
            <w:vAlign w:val="center"/>
          </w:tcPr>
          <w:p>
            <w:pPr>
              <w:spacing w:after="0"/>
            </w:pPr>
            <w:r>
              <w:rPr>
                <w:sz w:val="17"/>
              </w:rPr>
              <w:t>Performance/resilience</w:t>
            </w:r>
          </w:p>
        </w:tc>
        <w:tc>
          <w:tcPr>
            <w:tcW w:type="dxa" w:w="1440"/>
            <w:tcMar>
              <w:top w:w="80" w:type="dxa"/>
              <w:start w:w="105" w:type="dxa"/>
              <w:bottom w:w="80" w:type="dxa"/>
              <w:end w:w="105" w:type="dxa"/>
            </w:tcMar>
            <w:vAlign w:val="center"/>
          </w:tcPr>
          <w:p>
            <w:pPr>
              <w:spacing w:after="0"/>
            </w:pPr>
            <w:r>
              <w:rPr>
                <w:sz w:val="17"/>
              </w:rPr>
              <w:t>No</w:t>
            </w:r>
          </w:p>
        </w:tc>
        <w:tc>
          <w:tcPr>
            <w:tcW w:type="dxa" w:w="1440"/>
            <w:tcMar>
              <w:top w:w="80" w:type="dxa"/>
              <w:start w:w="105" w:type="dxa"/>
              <w:bottom w:w="80" w:type="dxa"/>
              <w:end w:w="105" w:type="dxa"/>
            </w:tcMar>
            <w:vAlign w:val="center"/>
          </w:tcPr>
          <w:p>
            <w:pPr>
              <w:spacing w:after="0"/>
            </w:pPr>
            <w:r>
              <w:rPr>
                <w:sz w:val="17"/>
              </w:rPr>
              <w:t>Smoke</w:t>
            </w:r>
          </w:p>
        </w:tc>
        <w:tc>
          <w:tcPr>
            <w:tcW w:type="dxa" w:w="3240"/>
            <w:tcMar>
              <w:top w:w="80" w:type="dxa"/>
              <w:start w:w="105" w:type="dxa"/>
              <w:bottom w:w="80" w:type="dxa"/>
              <w:end w:w="105" w:type="dxa"/>
            </w:tcMar>
            <w:vAlign w:val="center"/>
          </w:tcPr>
          <w:p>
            <w:pPr>
              <w:spacing w:after="0"/>
            </w:pPr>
            <w:r>
              <w:rPr>
                <w:sz w:val="17"/>
              </w:rPr>
              <w:t>Reference-scale/full</w:t>
            </w:r>
          </w:p>
        </w:tc>
      </w:tr>
      <w:tr>
        <w:trPr>
          <w:cantSplit w:val="true"/>
        </w:trPr>
        <w:tc>
          <w:tcPr>
            <w:tcW w:type="dxa" w:w="3240"/>
            <w:tcMar>
              <w:top w:w="80" w:type="dxa"/>
              <w:start w:w="105" w:type="dxa"/>
              <w:bottom w:w="80" w:type="dxa"/>
              <w:end w:w="105" w:type="dxa"/>
            </w:tcMar>
            <w:vAlign w:val="center"/>
          </w:tcPr>
          <w:p>
            <w:pPr>
              <w:spacing w:after="0"/>
            </w:pPr>
            <w:r>
              <w:rPr>
                <w:sz w:val="17"/>
              </w:rPr>
              <w:t>Backup/restore</w:t>
            </w:r>
          </w:p>
        </w:tc>
        <w:tc>
          <w:tcPr>
            <w:tcW w:type="dxa" w:w="1440"/>
            <w:tcMar>
              <w:top w:w="80" w:type="dxa"/>
              <w:start w:w="105" w:type="dxa"/>
              <w:bottom w:w="80" w:type="dxa"/>
              <w:end w:w="105" w:type="dxa"/>
            </w:tcMar>
            <w:vAlign w:val="center"/>
          </w:tcPr>
          <w:p>
            <w:pPr>
              <w:spacing w:after="0"/>
            </w:pPr>
            <w:r>
              <w:rPr>
                <w:sz w:val="17"/>
              </w:rPr>
              <w:t>No</w:t>
            </w:r>
          </w:p>
        </w:tc>
        <w:tc>
          <w:tcPr>
            <w:tcW w:type="dxa" w:w="1440"/>
            <w:tcMar>
              <w:top w:w="80" w:type="dxa"/>
              <w:start w:w="105" w:type="dxa"/>
              <w:bottom w:w="80" w:type="dxa"/>
              <w:end w:w="105" w:type="dxa"/>
            </w:tcMar>
            <w:vAlign w:val="center"/>
          </w:tcPr>
          <w:p>
            <w:pPr>
              <w:spacing w:after="0"/>
            </w:pPr>
            <w:r>
              <w:rPr>
                <w:sz w:val="17"/>
              </w:rPr>
              <w:t>Smoke</w:t>
            </w:r>
          </w:p>
        </w:tc>
        <w:tc>
          <w:tcPr>
            <w:tcW w:type="dxa" w:w="3240"/>
            <w:tcMar>
              <w:top w:w="80" w:type="dxa"/>
              <w:start w:w="105" w:type="dxa"/>
              <w:bottom w:w="80" w:type="dxa"/>
              <w:end w:w="105" w:type="dxa"/>
            </w:tcMar>
            <w:vAlign w:val="center"/>
          </w:tcPr>
          <w:p>
            <w:pPr>
              <w:spacing w:after="0"/>
            </w:pPr>
            <w:r>
              <w:rPr>
                <w:sz w:val="17"/>
              </w:rPr>
              <w:t>Full rehearsal</w:t>
            </w:r>
          </w:p>
        </w:tc>
      </w:tr>
    </w:tbl>
    <w:p>
      <w:pPr>
        <w:spacing w:after="20"/>
      </w:pPr>
    </w:p>
    <w:p>
      <w:pPr>
        <w:pStyle w:val="Heading1"/>
        <w:keepNext/>
      </w:pPr>
      <w:r>
        <w:t>22. Requirements Traceability Plan</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3456"/>
            <w:shd w:fill="17365D"/>
            <w:tcMar>
              <w:top w:w="80" w:type="dxa"/>
              <w:start w:w="105" w:type="dxa"/>
              <w:bottom w:w="80" w:type="dxa"/>
              <w:end w:w="105" w:type="dxa"/>
            </w:tcMar>
          </w:tcPr>
          <w:p>
            <w:r>
              <w:rPr>
                <w:b/>
                <w:color w:val="FFFFFF"/>
                <w:sz w:val="17"/>
              </w:rPr>
              <w:t>Domain</w:t>
            </w:r>
          </w:p>
        </w:tc>
        <w:tc>
          <w:tcPr>
            <w:tcW w:type="dxa" w:w="5904"/>
            <w:shd w:fill="17365D"/>
            <w:tcMar>
              <w:top w:w="80" w:type="dxa"/>
              <w:start w:w="105" w:type="dxa"/>
              <w:bottom w:w="80" w:type="dxa"/>
              <w:end w:w="105" w:type="dxa"/>
            </w:tcMar>
          </w:tcPr>
          <w:p>
            <w:r>
              <w:rPr>
                <w:b/>
                <w:color w:val="FFFFFF"/>
                <w:sz w:val="17"/>
              </w:rPr>
              <w:t>Primary milestones</w:t>
            </w:r>
          </w:p>
        </w:tc>
      </w:tr>
      <w:tr>
        <w:trPr>
          <w:cantSplit w:val="true"/>
        </w:trPr>
        <w:tc>
          <w:tcPr>
            <w:tcW w:type="dxa" w:w="3456"/>
            <w:tcMar>
              <w:top w:w="80" w:type="dxa"/>
              <w:start w:w="105" w:type="dxa"/>
              <w:bottom w:w="80" w:type="dxa"/>
              <w:end w:w="105" w:type="dxa"/>
            </w:tcMar>
            <w:vAlign w:val="center"/>
          </w:tcPr>
          <w:p>
            <w:pPr>
              <w:spacing w:after="0"/>
            </w:pPr>
            <w:r>
              <w:rPr>
                <w:sz w:val="17"/>
              </w:rPr>
              <w:t>Authentication/RBAC/Security</w:t>
            </w:r>
          </w:p>
        </w:tc>
        <w:tc>
          <w:tcPr>
            <w:tcW w:type="dxa" w:w="5904"/>
            <w:tcMar>
              <w:top w:w="80" w:type="dxa"/>
              <w:start w:w="105" w:type="dxa"/>
              <w:bottom w:w="80" w:type="dxa"/>
              <w:end w:w="105" w:type="dxa"/>
            </w:tcMar>
            <w:vAlign w:val="center"/>
          </w:tcPr>
          <w:p>
            <w:pPr>
              <w:spacing w:after="0"/>
            </w:pPr>
            <w:r>
              <w:rPr>
                <w:sz w:val="17"/>
              </w:rPr>
              <w:t>M1–M3, M9–M10</w:t>
            </w:r>
          </w:p>
        </w:tc>
      </w:tr>
      <w:tr>
        <w:trPr>
          <w:cantSplit w:val="true"/>
        </w:trPr>
        <w:tc>
          <w:tcPr>
            <w:tcW w:type="dxa" w:w="3456"/>
            <w:tcMar>
              <w:top w:w="80" w:type="dxa"/>
              <w:start w:w="105" w:type="dxa"/>
              <w:bottom w:w="80" w:type="dxa"/>
              <w:end w:w="105" w:type="dxa"/>
            </w:tcMar>
            <w:vAlign w:val="center"/>
          </w:tcPr>
          <w:p>
            <w:pPr>
              <w:spacing w:after="0"/>
            </w:pPr>
            <w:r>
              <w:rPr>
                <w:sz w:val="17"/>
              </w:rPr>
              <w:t>Connections/credentials</w:t>
            </w:r>
          </w:p>
        </w:tc>
        <w:tc>
          <w:tcPr>
            <w:tcW w:type="dxa" w:w="5904"/>
            <w:tcMar>
              <w:top w:w="80" w:type="dxa"/>
              <w:start w:w="105" w:type="dxa"/>
              <w:bottom w:w="80" w:type="dxa"/>
              <w:end w:w="105" w:type="dxa"/>
            </w:tcMar>
            <w:vAlign w:val="center"/>
          </w:tcPr>
          <w:p>
            <w:pPr>
              <w:spacing w:after="0"/>
            </w:pPr>
            <w:r>
              <w:rPr>
                <w:sz w:val="17"/>
              </w:rPr>
              <w:t>M2, provider milestones, M9</w:t>
            </w:r>
          </w:p>
        </w:tc>
      </w:tr>
      <w:tr>
        <w:trPr>
          <w:cantSplit w:val="true"/>
        </w:trPr>
        <w:tc>
          <w:tcPr>
            <w:tcW w:type="dxa" w:w="3456"/>
            <w:tcMar>
              <w:top w:w="80" w:type="dxa"/>
              <w:start w:w="105" w:type="dxa"/>
              <w:bottom w:w="80" w:type="dxa"/>
              <w:end w:w="105" w:type="dxa"/>
            </w:tcMar>
            <w:vAlign w:val="center"/>
          </w:tcPr>
          <w:p>
            <w:pPr>
              <w:spacing w:after="0"/>
            </w:pPr>
            <w:r>
              <w:rPr>
                <w:sz w:val="17"/>
              </w:rPr>
              <w:t>Discovery/model/inventory/hierarchy</w:t>
            </w:r>
          </w:p>
        </w:tc>
        <w:tc>
          <w:tcPr>
            <w:tcW w:type="dxa" w:w="5904"/>
            <w:tcMar>
              <w:top w:w="80" w:type="dxa"/>
              <w:start w:w="105" w:type="dxa"/>
              <w:bottom w:w="80" w:type="dxa"/>
              <w:end w:w="105" w:type="dxa"/>
            </w:tcMar>
            <w:vAlign w:val="center"/>
          </w:tcPr>
          <w:p>
            <w:pPr>
              <w:spacing w:after="0"/>
            </w:pPr>
            <w:r>
              <w:rPr>
                <w:sz w:val="17"/>
              </w:rPr>
              <w:t>M2, M4–M8</w:t>
            </w:r>
          </w:p>
        </w:tc>
      </w:tr>
      <w:tr>
        <w:trPr>
          <w:cantSplit w:val="true"/>
        </w:trPr>
        <w:tc>
          <w:tcPr>
            <w:tcW w:type="dxa" w:w="3456"/>
            <w:tcMar>
              <w:top w:w="80" w:type="dxa"/>
              <w:start w:w="105" w:type="dxa"/>
              <w:bottom w:w="80" w:type="dxa"/>
              <w:end w:w="105" w:type="dxa"/>
            </w:tcMar>
            <w:vAlign w:val="center"/>
          </w:tcPr>
          <w:p>
            <w:pPr>
              <w:spacing w:after="0"/>
            </w:pPr>
            <w:r>
              <w:rPr>
                <w:sz w:val="17"/>
              </w:rPr>
              <w:t>VM detail and lifecycle operations</w:t>
            </w:r>
          </w:p>
        </w:tc>
        <w:tc>
          <w:tcPr>
            <w:tcW w:type="dxa" w:w="5904"/>
            <w:tcMar>
              <w:top w:w="80" w:type="dxa"/>
              <w:start w:w="105" w:type="dxa"/>
              <w:bottom w:w="80" w:type="dxa"/>
              <w:end w:w="105" w:type="dxa"/>
            </w:tcMar>
            <w:vAlign w:val="center"/>
          </w:tcPr>
          <w:p>
            <w:pPr>
              <w:spacing w:after="0"/>
            </w:pPr>
            <w:r>
              <w:rPr>
                <w:sz w:val="17"/>
              </w:rPr>
              <w:t>M4–M8</w:t>
            </w:r>
          </w:p>
        </w:tc>
      </w:tr>
      <w:tr>
        <w:trPr>
          <w:cantSplit w:val="true"/>
        </w:trPr>
        <w:tc>
          <w:tcPr>
            <w:tcW w:type="dxa" w:w="3456"/>
            <w:tcMar>
              <w:top w:w="80" w:type="dxa"/>
              <w:start w:w="105" w:type="dxa"/>
              <w:bottom w:w="80" w:type="dxa"/>
              <w:end w:w="105" w:type="dxa"/>
            </w:tcMar>
            <w:vAlign w:val="center"/>
          </w:tcPr>
          <w:p>
            <w:pPr>
              <w:spacing w:after="0"/>
            </w:pPr>
            <w:r>
              <w:rPr>
                <w:sz w:val="17"/>
              </w:rPr>
              <w:t>Capabilities/provider awareness</w:t>
            </w:r>
          </w:p>
        </w:tc>
        <w:tc>
          <w:tcPr>
            <w:tcW w:type="dxa" w:w="5904"/>
            <w:tcMar>
              <w:top w:w="80" w:type="dxa"/>
              <w:start w:w="105" w:type="dxa"/>
              <w:bottom w:w="80" w:type="dxa"/>
              <w:end w:w="105" w:type="dxa"/>
            </w:tcMar>
            <w:vAlign w:val="center"/>
          </w:tcPr>
          <w:p>
            <w:pPr>
              <w:spacing w:after="0"/>
            </w:pPr>
            <w:r>
              <w:rPr>
                <w:sz w:val="17"/>
              </w:rPr>
              <w:t>M4–M8</w:t>
            </w:r>
          </w:p>
        </w:tc>
      </w:tr>
      <w:tr>
        <w:trPr>
          <w:cantSplit w:val="true"/>
        </w:trPr>
        <w:tc>
          <w:tcPr>
            <w:tcW w:type="dxa" w:w="3456"/>
            <w:tcMar>
              <w:top w:w="80" w:type="dxa"/>
              <w:start w:w="105" w:type="dxa"/>
              <w:bottom w:w="80" w:type="dxa"/>
              <w:end w:w="105" w:type="dxa"/>
            </w:tcMar>
            <w:vAlign w:val="center"/>
          </w:tcPr>
          <w:p>
            <w:pPr>
              <w:spacing w:after="0"/>
            </w:pPr>
            <w:r>
              <w:rPr>
                <w:sz w:val="17"/>
              </w:rPr>
              <w:t>Tasks/idempotency/audit</w:t>
            </w:r>
          </w:p>
        </w:tc>
        <w:tc>
          <w:tcPr>
            <w:tcW w:type="dxa" w:w="5904"/>
            <w:tcMar>
              <w:top w:w="80" w:type="dxa"/>
              <w:start w:w="105" w:type="dxa"/>
              <w:bottom w:w="80" w:type="dxa"/>
              <w:end w:w="105" w:type="dxa"/>
            </w:tcMar>
            <w:vAlign w:val="center"/>
          </w:tcPr>
          <w:p>
            <w:pPr>
              <w:spacing w:after="0"/>
            </w:pPr>
            <w:r>
              <w:rPr>
                <w:sz w:val="17"/>
              </w:rPr>
              <w:t>M3–M8</w:t>
            </w:r>
          </w:p>
        </w:tc>
      </w:tr>
      <w:tr>
        <w:trPr>
          <w:cantSplit w:val="true"/>
        </w:trPr>
        <w:tc>
          <w:tcPr>
            <w:tcW w:type="dxa" w:w="3456"/>
            <w:tcMar>
              <w:top w:w="80" w:type="dxa"/>
              <w:start w:w="105" w:type="dxa"/>
              <w:bottom w:w="80" w:type="dxa"/>
              <w:end w:w="105" w:type="dxa"/>
            </w:tcMar>
            <w:vAlign w:val="center"/>
          </w:tcPr>
          <w:p>
            <w:pPr>
              <w:spacing w:after="0"/>
            </w:pPr>
            <w:r>
              <w:rPr>
                <w:sz w:val="17"/>
              </w:rPr>
              <w:t>Dashboard/search/UI/accessibility</w:t>
            </w:r>
          </w:p>
        </w:tc>
        <w:tc>
          <w:tcPr>
            <w:tcW w:type="dxa" w:w="5904"/>
            <w:tcMar>
              <w:top w:w="80" w:type="dxa"/>
              <w:start w:w="105" w:type="dxa"/>
              <w:bottom w:w="80" w:type="dxa"/>
              <w:end w:w="105" w:type="dxa"/>
            </w:tcMar>
            <w:vAlign w:val="center"/>
          </w:tcPr>
          <w:p>
            <w:pPr>
              <w:spacing w:after="0"/>
            </w:pPr>
            <w:r>
              <w:rPr>
                <w:sz w:val="17"/>
              </w:rPr>
              <w:t>M5, M9</w:t>
            </w:r>
          </w:p>
        </w:tc>
      </w:tr>
      <w:tr>
        <w:trPr>
          <w:cantSplit w:val="true"/>
        </w:trPr>
        <w:tc>
          <w:tcPr>
            <w:tcW w:type="dxa" w:w="3456"/>
            <w:tcMar>
              <w:top w:w="80" w:type="dxa"/>
              <w:start w:w="105" w:type="dxa"/>
              <w:bottom w:w="80" w:type="dxa"/>
              <w:end w:w="105" w:type="dxa"/>
            </w:tcMar>
            <w:vAlign w:val="center"/>
          </w:tcPr>
          <w:p>
            <w:pPr>
              <w:spacing w:after="0"/>
            </w:pPr>
            <w:r>
              <w:rPr>
                <w:sz w:val="17"/>
              </w:rPr>
              <w:t>API/database contracts</w:t>
            </w:r>
          </w:p>
        </w:tc>
        <w:tc>
          <w:tcPr>
            <w:tcW w:type="dxa" w:w="5904"/>
            <w:tcMar>
              <w:top w:w="80" w:type="dxa"/>
              <w:start w:w="105" w:type="dxa"/>
              <w:bottom w:w="80" w:type="dxa"/>
              <w:end w:w="105" w:type="dxa"/>
            </w:tcMar>
            <w:vAlign w:val="center"/>
          </w:tcPr>
          <w:p>
            <w:pPr>
              <w:spacing w:after="0"/>
            </w:pPr>
            <w:r>
              <w:rPr>
                <w:sz w:val="17"/>
              </w:rPr>
              <w:t>M1–M3, all provider milestones</w:t>
            </w:r>
          </w:p>
        </w:tc>
      </w:tr>
      <w:tr>
        <w:trPr>
          <w:cantSplit w:val="true"/>
        </w:trPr>
        <w:tc>
          <w:tcPr>
            <w:tcW w:type="dxa" w:w="3456"/>
            <w:tcMar>
              <w:top w:w="80" w:type="dxa"/>
              <w:start w:w="105" w:type="dxa"/>
              <w:bottom w:w="80" w:type="dxa"/>
              <w:end w:w="105" w:type="dxa"/>
            </w:tcMar>
            <w:vAlign w:val="center"/>
          </w:tcPr>
          <w:p>
            <w:pPr>
              <w:spacing w:after="0"/>
            </w:pPr>
            <w:r>
              <w:rPr>
                <w:sz w:val="17"/>
              </w:rPr>
              <w:t>Performance/reliability/observability</w:t>
            </w:r>
          </w:p>
        </w:tc>
        <w:tc>
          <w:tcPr>
            <w:tcW w:type="dxa" w:w="5904"/>
            <w:tcMar>
              <w:top w:w="80" w:type="dxa"/>
              <w:start w:w="105" w:type="dxa"/>
              <w:bottom w:w="80" w:type="dxa"/>
              <w:end w:w="105" w:type="dxa"/>
            </w:tcMar>
            <w:vAlign w:val="center"/>
          </w:tcPr>
          <w:p>
            <w:pPr>
              <w:spacing w:after="0"/>
            </w:pPr>
            <w:r>
              <w:rPr>
                <w:sz w:val="17"/>
              </w:rPr>
              <w:t>M1, M3, M9</w:t>
            </w:r>
          </w:p>
        </w:tc>
      </w:tr>
      <w:tr>
        <w:trPr>
          <w:cantSplit w:val="true"/>
        </w:trPr>
        <w:tc>
          <w:tcPr>
            <w:tcW w:type="dxa" w:w="3456"/>
            <w:tcMar>
              <w:top w:w="80" w:type="dxa"/>
              <w:start w:w="105" w:type="dxa"/>
              <w:bottom w:w="80" w:type="dxa"/>
              <w:end w:w="105" w:type="dxa"/>
            </w:tcMar>
            <w:vAlign w:val="center"/>
          </w:tcPr>
          <w:p>
            <w:pPr>
              <w:spacing w:after="0"/>
            </w:pPr>
            <w:r>
              <w:rPr>
                <w:sz w:val="17"/>
              </w:rPr>
              <w:t>Deployment/recovery/documentation</w:t>
            </w:r>
          </w:p>
        </w:tc>
        <w:tc>
          <w:tcPr>
            <w:tcW w:type="dxa" w:w="5904"/>
            <w:tcMar>
              <w:top w:w="80" w:type="dxa"/>
              <w:start w:w="105" w:type="dxa"/>
              <w:bottom w:w="80" w:type="dxa"/>
              <w:end w:w="105" w:type="dxa"/>
            </w:tcMar>
            <w:vAlign w:val="center"/>
          </w:tcPr>
          <w:p>
            <w:pPr>
              <w:spacing w:after="0"/>
            </w:pPr>
            <w:r>
              <w:rPr>
                <w:sz w:val="17"/>
              </w:rPr>
              <w:t>M1, M9–M10</w:t>
            </w:r>
          </w:p>
        </w:tc>
      </w:tr>
    </w:tbl>
    <w:p>
      <w:pPr>
        <w:spacing w:after="20"/>
      </w:pPr>
    </w:p>
    <w:p>
      <w:r>
        <w:t>The traceability registry links PRD requirement ID → TADS/DAPI section → backlog item → code/change set → automated/manual test → milestone result. A must-have requirement without passing evidence blocks release unless formally waived through change control.</w:t>
      </w:r>
    </w:p>
    <w:p>
      <w:pPr>
        <w:pStyle w:val="Heading1"/>
        <w:keepNext/>
      </w:pPr>
      <w:r>
        <w:t>23. Risk Register</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2520"/>
            <w:shd w:fill="17365D"/>
            <w:tcMar>
              <w:top w:w="80" w:type="dxa"/>
              <w:start w:w="105" w:type="dxa"/>
              <w:bottom w:w="80" w:type="dxa"/>
              <w:end w:w="105" w:type="dxa"/>
            </w:tcMar>
          </w:tcPr>
          <w:p>
            <w:r>
              <w:rPr>
                <w:b/>
                <w:color w:val="FFFFFF"/>
                <w:sz w:val="17"/>
              </w:rPr>
              <w:t>Risk</w:t>
            </w:r>
          </w:p>
        </w:tc>
        <w:tc>
          <w:tcPr>
            <w:tcW w:type="dxa" w:w="1800"/>
            <w:shd w:fill="17365D"/>
            <w:tcMar>
              <w:top w:w="80" w:type="dxa"/>
              <w:start w:w="105" w:type="dxa"/>
              <w:bottom w:w="80" w:type="dxa"/>
              <w:end w:w="105" w:type="dxa"/>
            </w:tcMar>
          </w:tcPr>
          <w:p>
            <w:r>
              <w:rPr>
                <w:b/>
                <w:color w:val="FFFFFF"/>
                <w:sz w:val="17"/>
              </w:rPr>
              <w:t>Probability / impact</w:t>
            </w:r>
          </w:p>
        </w:tc>
        <w:tc>
          <w:tcPr>
            <w:tcW w:type="dxa" w:w="5040"/>
            <w:shd w:fill="17365D"/>
            <w:tcMar>
              <w:top w:w="80" w:type="dxa"/>
              <w:start w:w="105" w:type="dxa"/>
              <w:bottom w:w="80" w:type="dxa"/>
              <w:end w:w="105" w:type="dxa"/>
            </w:tcMar>
          </w:tcPr>
          <w:p>
            <w:r>
              <w:rPr>
                <w:b/>
                <w:color w:val="FFFFFF"/>
                <w:sz w:val="17"/>
              </w:rPr>
              <w:t>Mitigation / trigger</w:t>
            </w:r>
          </w:p>
        </w:tc>
      </w:tr>
      <w:tr>
        <w:trPr>
          <w:cantSplit w:val="true"/>
        </w:trPr>
        <w:tc>
          <w:tcPr>
            <w:tcW w:type="dxa" w:w="2520"/>
            <w:tcMar>
              <w:top w:w="80" w:type="dxa"/>
              <w:start w:w="105" w:type="dxa"/>
              <w:bottom w:w="80" w:type="dxa"/>
              <w:end w:w="105" w:type="dxa"/>
            </w:tcMar>
            <w:vAlign w:val="center"/>
          </w:tcPr>
          <w:p>
            <w:pPr>
              <w:spacing w:after="0"/>
            </w:pPr>
            <w:r>
              <w:rPr>
                <w:sz w:val="17"/>
              </w:rPr>
              <w:t>Provider SDK/API incompatibility</w:t>
            </w:r>
          </w:p>
        </w:tc>
        <w:tc>
          <w:tcPr>
            <w:tcW w:type="dxa" w:w="1800"/>
            <w:tcMar>
              <w:top w:w="80" w:type="dxa"/>
              <w:start w:w="105" w:type="dxa"/>
              <w:bottom w:w="80" w:type="dxa"/>
              <w:end w:w="105" w:type="dxa"/>
            </w:tcMar>
            <w:vAlign w:val="center"/>
          </w:tcPr>
          <w:p>
            <w:pPr>
              <w:spacing w:after="0"/>
            </w:pPr>
            <w:r>
              <w:rPr>
                <w:sz w:val="17"/>
              </w:rPr>
              <w:t>M / H</w:t>
            </w:r>
          </w:p>
        </w:tc>
        <w:tc>
          <w:tcPr>
            <w:tcW w:type="dxa" w:w="5040"/>
            <w:tcMar>
              <w:top w:w="80" w:type="dxa"/>
              <w:start w:w="105" w:type="dxa"/>
              <w:bottom w:w="80" w:type="dxa"/>
              <w:end w:w="105" w:type="dxa"/>
            </w:tcMar>
            <w:vAlign w:val="center"/>
          </w:tcPr>
          <w:p>
            <w:pPr>
              <w:spacing w:after="0"/>
            </w:pPr>
            <w:r>
              <w:rPr>
                <w:sz w:val="17"/>
              </w:rPr>
              <w:t>Early spikes and compatibility matrix; reforecast if unsupported versions expand</w:t>
            </w:r>
          </w:p>
        </w:tc>
      </w:tr>
      <w:tr>
        <w:trPr>
          <w:cantSplit w:val="true"/>
        </w:trPr>
        <w:tc>
          <w:tcPr>
            <w:tcW w:type="dxa" w:w="2520"/>
            <w:tcMar>
              <w:top w:w="80" w:type="dxa"/>
              <w:start w:w="105" w:type="dxa"/>
              <w:bottom w:w="80" w:type="dxa"/>
              <w:end w:w="105" w:type="dxa"/>
            </w:tcMar>
            <w:vAlign w:val="center"/>
          </w:tcPr>
          <w:p>
            <w:pPr>
              <w:spacing w:after="0"/>
            </w:pPr>
            <w:r>
              <w:rPr>
                <w:sz w:val="17"/>
              </w:rPr>
              <w:t>Broker semantics fail durability needs</w:t>
            </w:r>
          </w:p>
        </w:tc>
        <w:tc>
          <w:tcPr>
            <w:tcW w:type="dxa" w:w="1800"/>
            <w:tcMar>
              <w:top w:w="80" w:type="dxa"/>
              <w:start w:w="105" w:type="dxa"/>
              <w:bottom w:w="80" w:type="dxa"/>
              <w:end w:w="105" w:type="dxa"/>
            </w:tcMar>
            <w:vAlign w:val="center"/>
          </w:tcPr>
          <w:p>
            <w:pPr>
              <w:spacing w:after="0"/>
            </w:pPr>
            <w:r>
              <w:rPr>
                <w:sz w:val="17"/>
              </w:rPr>
              <w:t>M / H</w:t>
            </w:r>
          </w:p>
        </w:tc>
        <w:tc>
          <w:tcPr>
            <w:tcW w:type="dxa" w:w="5040"/>
            <w:tcMar>
              <w:top w:w="80" w:type="dxa"/>
              <w:start w:w="105" w:type="dxa"/>
              <w:bottom w:w="80" w:type="dxa"/>
              <w:end w:w="105" w:type="dxa"/>
            </w:tcMar>
            <w:vAlign w:val="center"/>
          </w:tcPr>
          <w:p>
            <w:pPr>
              <w:spacing w:after="0"/>
            </w:pPr>
            <w:r>
              <w:rPr>
                <w:sz w:val="17"/>
              </w:rPr>
              <w:t>M1 prototype; decide before M3 implementation</w:t>
            </w:r>
          </w:p>
        </w:tc>
      </w:tr>
      <w:tr>
        <w:trPr>
          <w:cantSplit w:val="true"/>
        </w:trPr>
        <w:tc>
          <w:tcPr>
            <w:tcW w:type="dxa" w:w="2520"/>
            <w:tcMar>
              <w:top w:w="80" w:type="dxa"/>
              <w:start w:w="105" w:type="dxa"/>
              <w:bottom w:w="80" w:type="dxa"/>
              <w:end w:w="105" w:type="dxa"/>
            </w:tcMar>
            <w:vAlign w:val="center"/>
          </w:tcPr>
          <w:p>
            <w:pPr>
              <w:spacing w:after="0"/>
            </w:pPr>
            <w:r>
              <w:rPr>
                <w:sz w:val="17"/>
              </w:rPr>
              <w:t>VMware lab/access delay</w:t>
            </w:r>
          </w:p>
        </w:tc>
        <w:tc>
          <w:tcPr>
            <w:tcW w:type="dxa" w:w="1800"/>
            <w:tcMar>
              <w:top w:w="80" w:type="dxa"/>
              <w:start w:w="105" w:type="dxa"/>
              <w:bottom w:w="80" w:type="dxa"/>
              <w:end w:w="105" w:type="dxa"/>
            </w:tcMar>
            <w:vAlign w:val="center"/>
          </w:tcPr>
          <w:p>
            <w:pPr>
              <w:spacing w:after="0"/>
            </w:pPr>
            <w:r>
              <w:rPr>
                <w:sz w:val="17"/>
              </w:rPr>
              <w:t>M / H</w:t>
            </w:r>
          </w:p>
        </w:tc>
        <w:tc>
          <w:tcPr>
            <w:tcW w:type="dxa" w:w="5040"/>
            <w:tcMar>
              <w:top w:w="80" w:type="dxa"/>
              <w:start w:w="105" w:type="dxa"/>
              <w:bottom w:w="80" w:type="dxa"/>
              <w:end w:w="105" w:type="dxa"/>
            </w:tcMar>
            <w:vAlign w:val="center"/>
          </w:tcPr>
          <w:p>
            <w:pPr>
              <w:spacing w:after="0"/>
            </w:pPr>
            <w:r>
              <w:rPr>
                <w:sz w:val="17"/>
              </w:rPr>
              <w:t>Provision in M0; mock adapter allows foundation only, not M4 exit</w:t>
            </w:r>
          </w:p>
        </w:tc>
      </w:tr>
      <w:tr>
        <w:trPr>
          <w:cantSplit w:val="true"/>
        </w:trPr>
        <w:tc>
          <w:tcPr>
            <w:tcW w:type="dxa" w:w="2520"/>
            <w:tcMar>
              <w:top w:w="80" w:type="dxa"/>
              <w:start w:w="105" w:type="dxa"/>
              <w:bottom w:w="80" w:type="dxa"/>
              <w:end w:w="105" w:type="dxa"/>
            </w:tcMar>
            <w:vAlign w:val="center"/>
          </w:tcPr>
          <w:p>
            <w:pPr>
              <w:spacing w:after="0"/>
            </w:pPr>
            <w:r>
              <w:rPr>
                <w:sz w:val="17"/>
              </w:rPr>
              <w:t>Workstation agent security complexity</w:t>
            </w:r>
          </w:p>
        </w:tc>
        <w:tc>
          <w:tcPr>
            <w:tcW w:type="dxa" w:w="1800"/>
            <w:tcMar>
              <w:top w:w="80" w:type="dxa"/>
              <w:start w:w="105" w:type="dxa"/>
              <w:bottom w:w="80" w:type="dxa"/>
              <w:end w:w="105" w:type="dxa"/>
            </w:tcMar>
            <w:vAlign w:val="center"/>
          </w:tcPr>
          <w:p>
            <w:pPr>
              <w:spacing w:after="0"/>
            </w:pPr>
            <w:r>
              <w:rPr>
                <w:sz w:val="17"/>
              </w:rPr>
              <w:t>H / H</w:t>
            </w:r>
          </w:p>
        </w:tc>
        <w:tc>
          <w:tcPr>
            <w:tcW w:type="dxa" w:w="5040"/>
            <w:tcMar>
              <w:top w:w="80" w:type="dxa"/>
              <w:start w:w="105" w:type="dxa"/>
              <w:bottom w:w="80" w:type="dxa"/>
              <w:end w:w="105" w:type="dxa"/>
            </w:tcMar>
            <w:vAlign w:val="center"/>
          </w:tcPr>
          <w:p>
            <w:pPr>
              <w:spacing w:after="0"/>
            </w:pPr>
            <w:r>
              <w:rPr>
                <w:sz w:val="17"/>
              </w:rPr>
              <w:t>Threat-driven spike, protocol tests, staged scope</w:t>
            </w:r>
          </w:p>
        </w:tc>
      </w:tr>
      <w:tr>
        <w:trPr>
          <w:cantSplit w:val="true"/>
        </w:trPr>
        <w:tc>
          <w:tcPr>
            <w:tcW w:type="dxa" w:w="2520"/>
            <w:tcMar>
              <w:top w:w="80" w:type="dxa"/>
              <w:start w:w="105" w:type="dxa"/>
              <w:bottom w:w="80" w:type="dxa"/>
              <w:end w:w="105" w:type="dxa"/>
            </w:tcMar>
            <w:vAlign w:val="center"/>
          </w:tcPr>
          <w:p>
            <w:pPr>
              <w:spacing w:after="0"/>
            </w:pPr>
            <w:r>
              <w:rPr>
                <w:sz w:val="17"/>
              </w:rPr>
              <w:t>Cloud throttling and permissions</w:t>
            </w:r>
          </w:p>
        </w:tc>
        <w:tc>
          <w:tcPr>
            <w:tcW w:type="dxa" w:w="1800"/>
            <w:tcMar>
              <w:top w:w="80" w:type="dxa"/>
              <w:start w:w="105" w:type="dxa"/>
              <w:bottom w:w="80" w:type="dxa"/>
              <w:end w:w="105" w:type="dxa"/>
            </w:tcMar>
            <w:vAlign w:val="center"/>
          </w:tcPr>
          <w:p>
            <w:pPr>
              <w:spacing w:after="0"/>
            </w:pPr>
            <w:r>
              <w:rPr>
                <w:sz w:val="17"/>
              </w:rPr>
              <w:t>M / M</w:t>
            </w:r>
          </w:p>
        </w:tc>
        <w:tc>
          <w:tcPr>
            <w:tcW w:type="dxa" w:w="5040"/>
            <w:tcMar>
              <w:top w:w="80" w:type="dxa"/>
              <w:start w:w="105" w:type="dxa"/>
              <w:bottom w:w="80" w:type="dxa"/>
              <w:end w:w="105" w:type="dxa"/>
            </w:tcMar>
            <w:vAlign w:val="center"/>
          </w:tcPr>
          <w:p>
            <w:pPr>
              <w:spacing w:after="0"/>
            </w:pPr>
            <w:r>
              <w:rPr>
                <w:sz w:val="17"/>
              </w:rPr>
              <w:t>Least-privilege policies, sandbox tests, regional budgets</w:t>
            </w:r>
          </w:p>
        </w:tc>
      </w:tr>
      <w:tr>
        <w:trPr>
          <w:cantSplit w:val="true"/>
        </w:trPr>
        <w:tc>
          <w:tcPr>
            <w:tcW w:type="dxa" w:w="2520"/>
            <w:tcMar>
              <w:top w:w="80" w:type="dxa"/>
              <w:start w:w="105" w:type="dxa"/>
              <w:bottom w:w="80" w:type="dxa"/>
              <w:end w:w="105" w:type="dxa"/>
            </w:tcMar>
            <w:vAlign w:val="center"/>
          </w:tcPr>
          <w:p>
            <w:pPr>
              <w:spacing w:after="0"/>
            </w:pPr>
            <w:r>
              <w:rPr>
                <w:sz w:val="17"/>
              </w:rPr>
              <w:t>UI starts before contracts stabilize</w:t>
            </w:r>
          </w:p>
        </w:tc>
        <w:tc>
          <w:tcPr>
            <w:tcW w:type="dxa" w:w="1800"/>
            <w:tcMar>
              <w:top w:w="80" w:type="dxa"/>
              <w:start w:w="105" w:type="dxa"/>
              <w:bottom w:w="80" w:type="dxa"/>
              <w:end w:w="105" w:type="dxa"/>
            </w:tcMar>
            <w:vAlign w:val="center"/>
          </w:tcPr>
          <w:p>
            <w:pPr>
              <w:spacing w:after="0"/>
            </w:pPr>
            <w:r>
              <w:rPr>
                <w:sz w:val="17"/>
              </w:rPr>
              <w:t>M / M</w:t>
            </w:r>
          </w:p>
        </w:tc>
        <w:tc>
          <w:tcPr>
            <w:tcW w:type="dxa" w:w="5040"/>
            <w:tcMar>
              <w:top w:w="80" w:type="dxa"/>
              <w:start w:w="105" w:type="dxa"/>
              <w:bottom w:w="80" w:type="dxa"/>
              <w:end w:w="105" w:type="dxa"/>
            </w:tcMar>
            <w:vAlign w:val="center"/>
          </w:tcPr>
          <w:p>
            <w:pPr>
              <w:spacing w:after="0"/>
            </w:pPr>
            <w:r>
              <w:rPr>
                <w:sz w:val="17"/>
              </w:rPr>
              <w:t>Mock OpenAPI first; freeze interaction contracts at M4</w:t>
            </w:r>
          </w:p>
        </w:tc>
      </w:tr>
      <w:tr>
        <w:trPr>
          <w:cantSplit w:val="true"/>
        </w:trPr>
        <w:tc>
          <w:tcPr>
            <w:tcW w:type="dxa" w:w="2520"/>
            <w:tcMar>
              <w:top w:w="80" w:type="dxa"/>
              <w:start w:w="105" w:type="dxa"/>
              <w:bottom w:w="80" w:type="dxa"/>
              <w:end w:w="105" w:type="dxa"/>
            </w:tcMar>
            <w:vAlign w:val="center"/>
          </w:tcPr>
          <w:p>
            <w:pPr>
              <w:spacing w:after="0"/>
            </w:pPr>
            <w:r>
              <w:rPr>
                <w:sz w:val="17"/>
              </w:rPr>
              <w:t>Scope growth</w:t>
            </w:r>
          </w:p>
        </w:tc>
        <w:tc>
          <w:tcPr>
            <w:tcW w:type="dxa" w:w="1800"/>
            <w:tcMar>
              <w:top w:w="80" w:type="dxa"/>
              <w:start w:w="105" w:type="dxa"/>
              <w:bottom w:w="80" w:type="dxa"/>
              <w:end w:w="105" w:type="dxa"/>
            </w:tcMar>
            <w:vAlign w:val="center"/>
          </w:tcPr>
          <w:p>
            <w:pPr>
              <w:spacing w:after="0"/>
            </w:pPr>
            <w:r>
              <w:rPr>
                <w:sz w:val="17"/>
              </w:rPr>
              <w:t>H / H</w:t>
            </w:r>
          </w:p>
        </w:tc>
        <w:tc>
          <w:tcPr>
            <w:tcW w:type="dxa" w:w="5040"/>
            <w:tcMar>
              <w:top w:w="80" w:type="dxa"/>
              <w:start w:w="105" w:type="dxa"/>
              <w:bottom w:w="80" w:type="dxa"/>
              <w:end w:w="105" w:type="dxa"/>
            </w:tcMar>
            <w:vAlign w:val="center"/>
          </w:tcPr>
          <w:p>
            <w:pPr>
              <w:spacing w:after="0"/>
            </w:pPr>
            <w:r>
              <w:rPr>
                <w:sz w:val="17"/>
              </w:rPr>
              <w:t>PRD change control and explicit v0.1 exclusions</w:t>
            </w:r>
          </w:p>
        </w:tc>
      </w:tr>
      <w:tr>
        <w:trPr>
          <w:cantSplit w:val="true"/>
        </w:trPr>
        <w:tc>
          <w:tcPr>
            <w:tcW w:type="dxa" w:w="2520"/>
            <w:tcMar>
              <w:top w:w="80" w:type="dxa"/>
              <w:start w:w="105" w:type="dxa"/>
              <w:bottom w:w="80" w:type="dxa"/>
              <w:end w:w="105" w:type="dxa"/>
            </w:tcMar>
            <w:vAlign w:val="center"/>
          </w:tcPr>
          <w:p>
            <w:pPr>
              <w:spacing w:after="0"/>
            </w:pPr>
            <w:r>
              <w:rPr>
                <w:sz w:val="17"/>
              </w:rPr>
              <w:t>Underestimated qualification</w:t>
            </w:r>
          </w:p>
        </w:tc>
        <w:tc>
          <w:tcPr>
            <w:tcW w:type="dxa" w:w="1800"/>
            <w:tcMar>
              <w:top w:w="80" w:type="dxa"/>
              <w:start w:w="105" w:type="dxa"/>
              <w:bottom w:w="80" w:type="dxa"/>
              <w:end w:w="105" w:type="dxa"/>
            </w:tcMar>
            <w:vAlign w:val="center"/>
          </w:tcPr>
          <w:p>
            <w:pPr>
              <w:spacing w:after="0"/>
            </w:pPr>
            <w:r>
              <w:rPr>
                <w:sz w:val="17"/>
              </w:rPr>
              <w:t>M / H</w:t>
            </w:r>
          </w:p>
        </w:tc>
        <w:tc>
          <w:tcPr>
            <w:tcW w:type="dxa" w:w="5040"/>
            <w:tcMar>
              <w:top w:w="80" w:type="dxa"/>
              <w:start w:w="105" w:type="dxa"/>
              <w:bottom w:w="80" w:type="dxa"/>
              <w:end w:w="105" w:type="dxa"/>
            </w:tcMar>
            <w:vAlign w:val="center"/>
          </w:tcPr>
          <w:p>
            <w:pPr>
              <w:spacing w:after="0"/>
            </w:pPr>
            <w:r>
              <w:rPr>
                <w:sz w:val="17"/>
              </w:rPr>
              <w:t>Quality work embedded; reserve M9; track automation debt</w:t>
            </w:r>
          </w:p>
        </w:tc>
      </w:tr>
      <w:tr>
        <w:trPr>
          <w:cantSplit w:val="true"/>
        </w:trPr>
        <w:tc>
          <w:tcPr>
            <w:tcW w:type="dxa" w:w="2520"/>
            <w:tcMar>
              <w:top w:w="80" w:type="dxa"/>
              <w:start w:w="105" w:type="dxa"/>
              <w:bottom w:w="80" w:type="dxa"/>
              <w:end w:w="105" w:type="dxa"/>
            </w:tcMar>
            <w:vAlign w:val="center"/>
          </w:tcPr>
          <w:p>
            <w:pPr>
              <w:spacing w:after="0"/>
            </w:pPr>
            <w:r>
              <w:rPr>
                <w:sz w:val="17"/>
              </w:rPr>
              <w:t>Key-person/provider knowledge</w:t>
            </w:r>
          </w:p>
        </w:tc>
        <w:tc>
          <w:tcPr>
            <w:tcW w:type="dxa" w:w="1800"/>
            <w:tcMar>
              <w:top w:w="80" w:type="dxa"/>
              <w:start w:w="105" w:type="dxa"/>
              <w:bottom w:w="80" w:type="dxa"/>
              <w:end w:w="105" w:type="dxa"/>
            </w:tcMar>
            <w:vAlign w:val="center"/>
          </w:tcPr>
          <w:p>
            <w:pPr>
              <w:spacing w:after="0"/>
            </w:pPr>
            <w:r>
              <w:rPr>
                <w:sz w:val="17"/>
              </w:rPr>
              <w:t>M / M</w:t>
            </w:r>
          </w:p>
        </w:tc>
        <w:tc>
          <w:tcPr>
            <w:tcW w:type="dxa" w:w="5040"/>
            <w:tcMar>
              <w:top w:w="80" w:type="dxa"/>
              <w:start w:w="105" w:type="dxa"/>
              <w:bottom w:w="80" w:type="dxa"/>
              <w:end w:w="105" w:type="dxa"/>
            </w:tcMar>
            <w:vAlign w:val="center"/>
          </w:tcPr>
          <w:p>
            <w:pPr>
              <w:spacing w:after="0"/>
            </w:pPr>
            <w:r>
              <w:rPr>
                <w:sz w:val="17"/>
              </w:rPr>
              <w:t>Pairing, code ownership, runbooks, recorded decisions</w:t>
            </w:r>
          </w:p>
        </w:tc>
      </w:tr>
      <w:tr>
        <w:trPr>
          <w:cantSplit w:val="true"/>
        </w:trPr>
        <w:tc>
          <w:tcPr>
            <w:tcW w:type="dxa" w:w="2520"/>
            <w:tcMar>
              <w:top w:w="80" w:type="dxa"/>
              <w:start w:w="105" w:type="dxa"/>
              <w:bottom w:w="80" w:type="dxa"/>
              <w:end w:w="105" w:type="dxa"/>
            </w:tcMar>
            <w:vAlign w:val="center"/>
          </w:tcPr>
          <w:p>
            <w:pPr>
              <w:spacing w:after="0"/>
            </w:pPr>
            <w:r>
              <w:rPr>
                <w:sz w:val="17"/>
              </w:rPr>
              <w:t>Brand clearance</w:t>
            </w:r>
          </w:p>
        </w:tc>
        <w:tc>
          <w:tcPr>
            <w:tcW w:type="dxa" w:w="1800"/>
            <w:tcMar>
              <w:top w:w="80" w:type="dxa"/>
              <w:start w:w="105" w:type="dxa"/>
              <w:bottom w:w="80" w:type="dxa"/>
              <w:end w:w="105" w:type="dxa"/>
            </w:tcMar>
            <w:vAlign w:val="center"/>
          </w:tcPr>
          <w:p>
            <w:pPr>
              <w:spacing w:after="0"/>
            </w:pPr>
            <w:r>
              <w:rPr>
                <w:sz w:val="17"/>
              </w:rPr>
              <w:t>M / M</w:t>
            </w:r>
          </w:p>
        </w:tc>
        <w:tc>
          <w:tcPr>
            <w:tcW w:type="dxa" w:w="5040"/>
            <w:tcMar>
              <w:top w:w="80" w:type="dxa"/>
              <w:start w:w="105" w:type="dxa"/>
              <w:bottom w:w="80" w:type="dxa"/>
              <w:end w:w="105" w:type="dxa"/>
            </w:tcMar>
            <w:vAlign w:val="center"/>
          </w:tcPr>
          <w:p>
            <w:pPr>
              <w:spacing w:after="0"/>
            </w:pPr>
            <w:r>
              <w:rPr>
                <w:sz w:val="17"/>
              </w:rPr>
              <w:t>Keep working-brand status; avoid irreversible public launch assets</w:t>
            </w:r>
          </w:p>
        </w:tc>
      </w:tr>
    </w:tbl>
    <w:p>
      <w:pPr>
        <w:spacing w:after="20"/>
      </w:pPr>
    </w:p>
    <w:p>
      <w:pPr>
        <w:pStyle w:val="Heading1"/>
        <w:keepNext/>
      </w:pPr>
      <w:r>
        <w:t>24. Metrics and Reporting</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3456"/>
            <w:shd w:fill="17365D"/>
            <w:tcMar>
              <w:top w:w="80" w:type="dxa"/>
              <w:start w:w="105" w:type="dxa"/>
              <w:bottom w:w="80" w:type="dxa"/>
              <w:end w:w="105" w:type="dxa"/>
            </w:tcMar>
          </w:tcPr>
          <w:p>
            <w:r>
              <w:rPr>
                <w:b/>
                <w:color w:val="FFFFFF"/>
                <w:sz w:val="17"/>
              </w:rPr>
              <w:t>Metric</w:t>
            </w:r>
          </w:p>
        </w:tc>
        <w:tc>
          <w:tcPr>
            <w:tcW w:type="dxa" w:w="5904"/>
            <w:shd w:fill="17365D"/>
            <w:tcMar>
              <w:top w:w="80" w:type="dxa"/>
              <w:start w:w="105" w:type="dxa"/>
              <w:bottom w:w="80" w:type="dxa"/>
              <w:end w:w="105" w:type="dxa"/>
            </w:tcMar>
          </w:tcPr>
          <w:p>
            <w:r>
              <w:rPr>
                <w:b/>
                <w:color w:val="FFFFFF"/>
                <w:sz w:val="17"/>
              </w:rPr>
              <w:t>Purpose</w:t>
            </w:r>
          </w:p>
        </w:tc>
      </w:tr>
      <w:tr>
        <w:trPr>
          <w:cantSplit w:val="true"/>
        </w:trPr>
        <w:tc>
          <w:tcPr>
            <w:tcW w:type="dxa" w:w="3456"/>
            <w:tcMar>
              <w:top w:w="80" w:type="dxa"/>
              <w:start w:w="105" w:type="dxa"/>
              <w:bottom w:w="80" w:type="dxa"/>
              <w:end w:w="105" w:type="dxa"/>
            </w:tcMar>
            <w:vAlign w:val="center"/>
          </w:tcPr>
          <w:p>
            <w:pPr>
              <w:spacing w:after="0"/>
            </w:pPr>
            <w:r>
              <w:rPr>
                <w:sz w:val="17"/>
              </w:rPr>
              <w:t>Milestone burn-up by accepted story</w:t>
            </w:r>
          </w:p>
        </w:tc>
        <w:tc>
          <w:tcPr>
            <w:tcW w:type="dxa" w:w="5904"/>
            <w:tcMar>
              <w:top w:w="80" w:type="dxa"/>
              <w:start w:w="105" w:type="dxa"/>
              <w:bottom w:w="80" w:type="dxa"/>
              <w:end w:w="105" w:type="dxa"/>
            </w:tcMar>
            <w:vAlign w:val="center"/>
          </w:tcPr>
          <w:p>
            <w:pPr>
              <w:spacing w:after="0"/>
            </w:pPr>
            <w:r>
              <w:rPr>
                <w:sz w:val="17"/>
              </w:rPr>
              <w:t>Shows delivered scope, not activity</w:t>
            </w:r>
          </w:p>
        </w:tc>
      </w:tr>
      <w:tr>
        <w:trPr>
          <w:cantSplit w:val="true"/>
        </w:trPr>
        <w:tc>
          <w:tcPr>
            <w:tcW w:type="dxa" w:w="3456"/>
            <w:tcMar>
              <w:top w:w="80" w:type="dxa"/>
              <w:start w:w="105" w:type="dxa"/>
              <w:bottom w:w="80" w:type="dxa"/>
              <w:end w:w="105" w:type="dxa"/>
            </w:tcMar>
            <w:vAlign w:val="center"/>
          </w:tcPr>
          <w:p>
            <w:pPr>
              <w:spacing w:after="0"/>
            </w:pPr>
            <w:r>
              <w:rPr>
                <w:sz w:val="17"/>
              </w:rPr>
              <w:t>Lead/cycle time and blocked age</w:t>
            </w:r>
          </w:p>
        </w:tc>
        <w:tc>
          <w:tcPr>
            <w:tcW w:type="dxa" w:w="5904"/>
            <w:tcMar>
              <w:top w:w="80" w:type="dxa"/>
              <w:start w:w="105" w:type="dxa"/>
              <w:bottom w:w="80" w:type="dxa"/>
              <w:end w:w="105" w:type="dxa"/>
            </w:tcMar>
            <w:vAlign w:val="center"/>
          </w:tcPr>
          <w:p>
            <w:pPr>
              <w:spacing w:after="0"/>
            </w:pPr>
            <w:r>
              <w:rPr>
                <w:sz w:val="17"/>
              </w:rPr>
              <w:t>Detects flow and dependency problems</w:t>
            </w:r>
          </w:p>
        </w:tc>
      </w:tr>
      <w:tr>
        <w:trPr>
          <w:cantSplit w:val="true"/>
        </w:trPr>
        <w:tc>
          <w:tcPr>
            <w:tcW w:type="dxa" w:w="3456"/>
            <w:tcMar>
              <w:top w:w="80" w:type="dxa"/>
              <w:start w:w="105" w:type="dxa"/>
              <w:bottom w:w="80" w:type="dxa"/>
              <w:end w:w="105" w:type="dxa"/>
            </w:tcMar>
            <w:vAlign w:val="center"/>
          </w:tcPr>
          <w:p>
            <w:pPr>
              <w:spacing w:after="0"/>
            </w:pPr>
            <w:r>
              <w:rPr>
                <w:sz w:val="17"/>
              </w:rPr>
              <w:t>Escaped defects by severity/domain</w:t>
            </w:r>
          </w:p>
        </w:tc>
        <w:tc>
          <w:tcPr>
            <w:tcW w:type="dxa" w:w="5904"/>
            <w:tcMar>
              <w:top w:w="80" w:type="dxa"/>
              <w:start w:w="105" w:type="dxa"/>
              <w:bottom w:w="80" w:type="dxa"/>
              <w:end w:w="105" w:type="dxa"/>
            </w:tcMar>
            <w:vAlign w:val="center"/>
          </w:tcPr>
          <w:p>
            <w:pPr>
              <w:spacing w:after="0"/>
            </w:pPr>
            <w:r>
              <w:rPr>
                <w:sz w:val="17"/>
              </w:rPr>
              <w:t>Targets quality hotspots</w:t>
            </w:r>
          </w:p>
        </w:tc>
      </w:tr>
      <w:tr>
        <w:trPr>
          <w:cantSplit w:val="true"/>
        </w:trPr>
        <w:tc>
          <w:tcPr>
            <w:tcW w:type="dxa" w:w="3456"/>
            <w:tcMar>
              <w:top w:w="80" w:type="dxa"/>
              <w:start w:w="105" w:type="dxa"/>
              <w:bottom w:w="80" w:type="dxa"/>
              <w:end w:w="105" w:type="dxa"/>
            </w:tcMar>
            <w:vAlign w:val="center"/>
          </w:tcPr>
          <w:p>
            <w:pPr>
              <w:spacing w:after="0"/>
            </w:pPr>
            <w:r>
              <w:rPr>
                <w:sz w:val="17"/>
              </w:rPr>
              <w:t>Automated acceptance coverage by PRD ID</w:t>
            </w:r>
          </w:p>
        </w:tc>
        <w:tc>
          <w:tcPr>
            <w:tcW w:type="dxa" w:w="5904"/>
            <w:tcMar>
              <w:top w:w="80" w:type="dxa"/>
              <w:start w:w="105" w:type="dxa"/>
              <w:bottom w:w="80" w:type="dxa"/>
              <w:end w:w="105" w:type="dxa"/>
            </w:tcMar>
            <w:vAlign w:val="center"/>
          </w:tcPr>
          <w:p>
            <w:pPr>
              <w:spacing w:after="0"/>
            </w:pPr>
            <w:r>
              <w:rPr>
                <w:sz w:val="17"/>
              </w:rPr>
              <w:t>Measures traceability completeness</w:t>
            </w:r>
          </w:p>
        </w:tc>
      </w:tr>
      <w:tr>
        <w:trPr>
          <w:cantSplit w:val="true"/>
        </w:trPr>
        <w:tc>
          <w:tcPr>
            <w:tcW w:type="dxa" w:w="3456"/>
            <w:tcMar>
              <w:top w:w="80" w:type="dxa"/>
              <w:start w:w="105" w:type="dxa"/>
              <w:bottom w:w="80" w:type="dxa"/>
              <w:end w:w="105" w:type="dxa"/>
            </w:tcMar>
            <w:vAlign w:val="center"/>
          </w:tcPr>
          <w:p>
            <w:pPr>
              <w:spacing w:after="0"/>
            </w:pPr>
            <w:r>
              <w:rPr>
                <w:sz w:val="17"/>
              </w:rPr>
              <w:t>Build/test reliability and flaky-test rate</w:t>
            </w:r>
          </w:p>
        </w:tc>
        <w:tc>
          <w:tcPr>
            <w:tcW w:type="dxa" w:w="5904"/>
            <w:tcMar>
              <w:top w:w="80" w:type="dxa"/>
              <w:start w:w="105" w:type="dxa"/>
              <w:bottom w:w="80" w:type="dxa"/>
              <w:end w:w="105" w:type="dxa"/>
            </w:tcMar>
            <w:vAlign w:val="center"/>
          </w:tcPr>
          <w:p>
            <w:pPr>
              <w:spacing w:after="0"/>
            </w:pPr>
            <w:r>
              <w:rPr>
                <w:sz w:val="17"/>
              </w:rPr>
              <w:t>Protects delivery signal</w:t>
            </w:r>
          </w:p>
        </w:tc>
      </w:tr>
      <w:tr>
        <w:trPr>
          <w:cantSplit w:val="true"/>
        </w:trPr>
        <w:tc>
          <w:tcPr>
            <w:tcW w:type="dxa" w:w="3456"/>
            <w:tcMar>
              <w:top w:w="80" w:type="dxa"/>
              <w:start w:w="105" w:type="dxa"/>
              <w:bottom w:w="80" w:type="dxa"/>
              <w:end w:w="105" w:type="dxa"/>
            </w:tcMar>
            <w:vAlign w:val="center"/>
          </w:tcPr>
          <w:p>
            <w:pPr>
              <w:spacing w:after="0"/>
            </w:pPr>
            <w:r>
              <w:rPr>
                <w:sz w:val="17"/>
              </w:rPr>
              <w:t>Provider task success and verification-required rate</w:t>
            </w:r>
          </w:p>
        </w:tc>
        <w:tc>
          <w:tcPr>
            <w:tcW w:type="dxa" w:w="5904"/>
            <w:tcMar>
              <w:top w:w="80" w:type="dxa"/>
              <w:start w:w="105" w:type="dxa"/>
              <w:bottom w:w="80" w:type="dxa"/>
              <w:end w:w="105" w:type="dxa"/>
            </w:tcMar>
            <w:vAlign w:val="center"/>
          </w:tcPr>
          <w:p>
            <w:pPr>
              <w:spacing w:after="0"/>
            </w:pPr>
            <w:r>
              <w:rPr>
                <w:sz w:val="17"/>
              </w:rPr>
              <w:t>Measures operational correctness</w:t>
            </w:r>
          </w:p>
        </w:tc>
      </w:tr>
      <w:tr>
        <w:trPr>
          <w:cantSplit w:val="true"/>
        </w:trPr>
        <w:tc>
          <w:tcPr>
            <w:tcW w:type="dxa" w:w="3456"/>
            <w:tcMar>
              <w:top w:w="80" w:type="dxa"/>
              <w:start w:w="105" w:type="dxa"/>
              <w:bottom w:w="80" w:type="dxa"/>
              <w:end w:w="105" w:type="dxa"/>
            </w:tcMar>
            <w:vAlign w:val="center"/>
          </w:tcPr>
          <w:p>
            <w:pPr>
              <w:spacing w:after="0"/>
            </w:pPr>
            <w:r>
              <w:rPr>
                <w:sz w:val="17"/>
              </w:rPr>
              <w:t>Security finding age and recurrence</w:t>
            </w:r>
          </w:p>
        </w:tc>
        <w:tc>
          <w:tcPr>
            <w:tcW w:type="dxa" w:w="5904"/>
            <w:tcMar>
              <w:top w:w="80" w:type="dxa"/>
              <w:start w:w="105" w:type="dxa"/>
              <w:bottom w:w="80" w:type="dxa"/>
              <w:end w:w="105" w:type="dxa"/>
            </w:tcMar>
            <w:vAlign w:val="center"/>
          </w:tcPr>
          <w:p>
            <w:pPr>
              <w:spacing w:after="0"/>
            </w:pPr>
            <w:r>
              <w:rPr>
                <w:sz w:val="17"/>
              </w:rPr>
              <w:t>Measures risk closure quality</w:t>
            </w:r>
          </w:p>
        </w:tc>
      </w:tr>
      <w:tr>
        <w:trPr>
          <w:cantSplit w:val="true"/>
        </w:trPr>
        <w:tc>
          <w:tcPr>
            <w:tcW w:type="dxa" w:w="3456"/>
            <w:tcMar>
              <w:top w:w="80" w:type="dxa"/>
              <w:start w:w="105" w:type="dxa"/>
              <w:bottom w:w="80" w:type="dxa"/>
              <w:end w:w="105" w:type="dxa"/>
            </w:tcMar>
            <w:vAlign w:val="center"/>
          </w:tcPr>
          <w:p>
            <w:pPr>
              <w:spacing w:after="0"/>
            </w:pPr>
            <w:r>
              <w:rPr>
                <w:sz w:val="17"/>
              </w:rPr>
              <w:t>Performance trend at reference scale</w:t>
            </w:r>
          </w:p>
        </w:tc>
        <w:tc>
          <w:tcPr>
            <w:tcW w:type="dxa" w:w="5904"/>
            <w:tcMar>
              <w:top w:w="80" w:type="dxa"/>
              <w:start w:w="105" w:type="dxa"/>
              <w:bottom w:w="80" w:type="dxa"/>
              <w:end w:w="105" w:type="dxa"/>
            </w:tcMar>
            <w:vAlign w:val="center"/>
          </w:tcPr>
          <w:p>
            <w:pPr>
              <w:spacing w:after="0"/>
            </w:pPr>
            <w:r>
              <w:rPr>
                <w:sz w:val="17"/>
              </w:rPr>
              <w:t>Detects regression</w:t>
            </w:r>
          </w:p>
        </w:tc>
      </w:tr>
      <w:tr>
        <w:trPr>
          <w:cantSplit w:val="true"/>
        </w:trPr>
        <w:tc>
          <w:tcPr>
            <w:tcW w:type="dxa" w:w="3456"/>
            <w:tcMar>
              <w:top w:w="80" w:type="dxa"/>
              <w:start w:w="105" w:type="dxa"/>
              <w:bottom w:w="80" w:type="dxa"/>
              <w:end w:w="105" w:type="dxa"/>
            </w:tcMar>
            <w:vAlign w:val="center"/>
          </w:tcPr>
          <w:p>
            <w:pPr>
              <w:spacing w:after="0"/>
            </w:pPr>
            <w:r>
              <w:rPr>
                <w:sz w:val="17"/>
              </w:rPr>
              <w:t>Documentation/runbook validation pass rate</w:t>
            </w:r>
          </w:p>
        </w:tc>
        <w:tc>
          <w:tcPr>
            <w:tcW w:type="dxa" w:w="5904"/>
            <w:tcMar>
              <w:top w:w="80" w:type="dxa"/>
              <w:start w:w="105" w:type="dxa"/>
              <w:bottom w:w="80" w:type="dxa"/>
              <w:end w:w="105" w:type="dxa"/>
            </w:tcMar>
            <w:vAlign w:val="center"/>
          </w:tcPr>
          <w:p>
            <w:pPr>
              <w:spacing w:after="0"/>
            </w:pPr>
            <w:r>
              <w:rPr>
                <w:sz w:val="17"/>
              </w:rPr>
              <w:t>Measures operational readiness</w:t>
            </w:r>
          </w:p>
        </w:tc>
      </w:tr>
    </w:tbl>
    <w:p>
      <w:pPr>
        <w:spacing w:after="20"/>
      </w:pPr>
    </w:p>
    <w:p>
      <w:pPr>
        <w:pStyle w:val="Heading2"/>
        <w:keepNext/>
      </w:pPr>
      <w:r>
        <w:t>24.1 Governance cadence</w:t>
      </w:r>
    </w:p>
    <w:p>
      <w:pPr>
        <w:pStyle w:val="ListBullet"/>
      </w:pPr>
      <w:r>
        <w:t>Daily engineering coordination focused on blockers and operational risk</w:t>
      </w:r>
    </w:p>
    <w:p>
      <w:pPr>
        <w:pStyle w:val="ListBullet"/>
      </w:pPr>
      <w:r>
        <w:t>Weekly product/engineering backlog and dependency review</w:t>
      </w:r>
    </w:p>
    <w:p>
      <w:pPr>
        <w:pStyle w:val="ListBullet"/>
      </w:pPr>
      <w:r>
        <w:t>Biweekly sprint review, demo, retrospective, and risk reforecast</w:t>
      </w:r>
    </w:p>
    <w:p>
      <w:pPr>
        <w:pStyle w:val="ListBullet"/>
      </w:pPr>
      <w:r>
        <w:t>Milestone gate review with recorded exit evidence and decision</w:t>
      </w:r>
    </w:p>
    <w:p>
      <w:pPr>
        <w:pStyle w:val="ListBullet"/>
      </w:pPr>
      <w:r>
        <w:t>Monthly architecture/security review until release candidate</w:t>
      </w:r>
    </w:p>
    <w:p>
      <w:pPr>
        <w:pStyle w:val="Heading1"/>
        <w:keepNext/>
      </w:pPr>
      <w:r>
        <w:t>25. Change Control</w:t>
      </w:r>
    </w:p>
    <w:p>
      <w:pPr>
        <w:pStyle w:val="ListBullet"/>
      </w:pPr>
      <w:r>
        <w:t>Submit change with problem, requested outcome, urgency, and originating requirement.</w:t>
      </w:r>
    </w:p>
    <w:p>
      <w:pPr>
        <w:pStyle w:val="ListBullet"/>
      </w:pPr>
      <w:r>
        <w:t>Assess PRD/TADS/DAPI impact, dependencies, security, data/API compatibility, estimate, schedule, and test impact.</w:t>
      </w:r>
    </w:p>
    <w:p>
      <w:pPr>
        <w:pStyle w:val="ListBullet"/>
      </w:pPr>
      <w:r>
        <w:t>Classify as clarification, defect, scope substitution, or scope expansion.</w:t>
      </w:r>
    </w:p>
    <w:p>
      <w:pPr>
        <w:pStyle w:val="ListBullet"/>
      </w:pPr>
      <w:r>
        <w:t>Tech Lead and Product Lead recommend disposition; Security/Operations join when affected.</w:t>
      </w:r>
    </w:p>
    <w:p>
      <w:pPr>
        <w:pStyle w:val="ListBullet"/>
      </w:pPr>
      <w:r>
        <w:t>Approved change updates governing document/backlog/traceability and reforecast.</w:t>
      </w:r>
    </w:p>
    <w:p>
      <w:pPr>
        <w:pStyle w:val="ListBullet"/>
      </w:pPr>
      <w:r>
        <w:t>Rejected or deferred change enters post-v0.1 roadmap with rationale.</w:t>
      </w:r>
    </w:p>
    <w:p>
      <w:pPr>
        <w:pStyle w:val="Heading1"/>
        <w:keepNext/>
      </w:pPr>
      <w:r>
        <w:t>26. Milestone Gate Checklist</w:t>
      </w:r>
    </w:p>
    <w:p>
      <w:pPr>
        <w:pStyle w:val="ListBullet"/>
      </w:pPr>
      <w:r>
        <w:t>Planned acceptance outcomes demonstrated in integration/staging</w:t>
      </w:r>
    </w:p>
    <w:p>
      <w:pPr>
        <w:pStyle w:val="ListBullet"/>
      </w:pPr>
      <w:r>
        <w:t>Required automated and manual suites pass with evidence</w:t>
      </w:r>
    </w:p>
    <w:p>
      <w:pPr>
        <w:pStyle w:val="ListBullet"/>
      </w:pPr>
      <w:r>
        <w:t>No gate-blocking defect, security finding, unresolved decision, or dependency</w:t>
      </w:r>
    </w:p>
    <w:p>
      <w:pPr>
        <w:pStyle w:val="ListBullet"/>
      </w:pPr>
      <w:r>
        <w:t>Database/API/message changes are compatible and documented</w:t>
      </w:r>
    </w:p>
    <w:p>
      <w:pPr>
        <w:pStyle w:val="ListBullet"/>
      </w:pPr>
      <w:r>
        <w:t>Telemetry and audit behavior support diagnosis and attribution</w:t>
      </w:r>
    </w:p>
    <w:p>
      <w:pPr>
        <w:pStyle w:val="ListBullet"/>
      </w:pPr>
      <w:r>
        <w:t>Install/configuration/operation documentation for the increment is validated</w:t>
      </w:r>
    </w:p>
    <w:p>
      <w:pPr>
        <w:pStyle w:val="ListBullet"/>
      </w:pPr>
      <w:r>
        <w:t>Traceability is current; risks and estimates are reforecast</w:t>
      </w:r>
    </w:p>
    <w:p>
      <w:pPr>
        <w:pStyle w:val="ListBullet"/>
      </w:pPr>
      <w:r>
        <w:t>Product, Engineering, QA, and applicable Security/Operations owners approve exit</w:t>
      </w:r>
    </w:p>
    <w:p>
      <w:pPr>
        <w:pStyle w:val="Heading1"/>
        <w:keepNext/>
      </w:pPr>
      <w:r>
        <w:t>27. Program Acceptance Criteria</w:t>
      </w:r>
    </w:p>
    <w:tbl>
      <w:tblPr>
        <w:tblStyle w:val="TableGrid"/>
        <w:tblW w:type="auto" w:w="0"/>
        <w:tblLayout w:type="fixed"/>
        <w:tblLook w:firstColumn="1" w:firstRow="1" w:lastColumn="0" w:lastRow="0" w:noHBand="0" w:noVBand="1" w:val="04A0"/>
      </w:tblPr>
      <w:tblGrid>
        <w:gridCol w:w="4882"/>
        <w:gridCol w:w="4882"/>
      </w:tblGrid>
      <w:tr>
        <w:trPr>
          <w:tblHeader w:val="true"/>
        </w:trPr>
        <w:tc>
          <w:tcPr>
            <w:tcW w:type="dxa" w:w="1800"/>
            <w:shd w:fill="17365D"/>
            <w:tcMar>
              <w:top w:w="80" w:type="dxa"/>
              <w:start w:w="105" w:type="dxa"/>
              <w:bottom w:w="80" w:type="dxa"/>
              <w:end w:w="105" w:type="dxa"/>
            </w:tcMar>
          </w:tcPr>
          <w:p>
            <w:r>
              <w:rPr>
                <w:b/>
                <w:color w:val="FFFFFF"/>
                <w:sz w:val="17"/>
              </w:rPr>
              <w:t>Criterion</w:t>
            </w:r>
          </w:p>
        </w:tc>
        <w:tc>
          <w:tcPr>
            <w:tcW w:type="dxa" w:w="7560"/>
            <w:shd w:fill="17365D"/>
            <w:tcMar>
              <w:top w:w="80" w:type="dxa"/>
              <w:start w:w="105" w:type="dxa"/>
              <w:bottom w:w="80" w:type="dxa"/>
              <w:end w:w="105" w:type="dxa"/>
            </w:tcMar>
          </w:tcPr>
          <w:p>
            <w:r>
              <w:rPr>
                <w:b/>
                <w:color w:val="FFFFFF"/>
                <w:sz w:val="17"/>
              </w:rPr>
              <w:t>Pass condition</w:t>
            </w:r>
          </w:p>
        </w:tc>
      </w:tr>
      <w:tr>
        <w:trPr>
          <w:cantSplit w:val="true"/>
        </w:trPr>
        <w:tc>
          <w:tcPr>
            <w:tcW w:type="dxa" w:w="1800"/>
            <w:tcMar>
              <w:top w:w="80" w:type="dxa"/>
              <w:start w:w="105" w:type="dxa"/>
              <w:bottom w:w="80" w:type="dxa"/>
              <w:end w:w="105" w:type="dxa"/>
            </w:tcMar>
            <w:vAlign w:val="center"/>
          </w:tcPr>
          <w:p>
            <w:pPr>
              <w:spacing w:after="0"/>
            </w:pPr>
            <w:r>
              <w:rPr>
                <w:sz w:val="17"/>
              </w:rPr>
              <w:t>IMP-AC-001</w:t>
            </w:r>
          </w:p>
        </w:tc>
        <w:tc>
          <w:tcPr>
            <w:tcW w:type="dxa" w:w="7560"/>
            <w:tcMar>
              <w:top w:w="80" w:type="dxa"/>
              <w:start w:w="105" w:type="dxa"/>
              <w:bottom w:w="80" w:type="dxa"/>
              <w:end w:w="105" w:type="dxa"/>
            </w:tcMar>
            <w:vAlign w:val="center"/>
          </w:tcPr>
          <w:p>
            <w:pPr>
              <w:spacing w:after="0"/>
            </w:pPr>
            <w:r>
              <w:rPr>
                <w:sz w:val="17"/>
              </w:rPr>
              <w:t>Every must-have PRD requirement maps to at least one backlog item and passing acceptance result.</w:t>
            </w:r>
          </w:p>
        </w:tc>
      </w:tr>
      <w:tr>
        <w:trPr>
          <w:cantSplit w:val="true"/>
        </w:trPr>
        <w:tc>
          <w:tcPr>
            <w:tcW w:type="dxa" w:w="1800"/>
            <w:tcMar>
              <w:top w:w="80" w:type="dxa"/>
              <w:start w:w="105" w:type="dxa"/>
              <w:bottom w:w="80" w:type="dxa"/>
              <w:end w:w="105" w:type="dxa"/>
            </w:tcMar>
            <w:vAlign w:val="center"/>
          </w:tcPr>
          <w:p>
            <w:pPr>
              <w:spacing w:after="0"/>
            </w:pPr>
            <w:r>
              <w:rPr>
                <w:sz w:val="17"/>
              </w:rPr>
              <w:t>IMP-AC-002</w:t>
            </w:r>
          </w:p>
        </w:tc>
        <w:tc>
          <w:tcPr>
            <w:tcW w:type="dxa" w:w="7560"/>
            <w:tcMar>
              <w:top w:w="80" w:type="dxa"/>
              <w:start w:w="105" w:type="dxa"/>
              <w:bottom w:w="80" w:type="dxa"/>
              <w:end w:w="105" w:type="dxa"/>
            </w:tcMar>
            <w:vAlign w:val="center"/>
          </w:tcPr>
          <w:p>
            <w:pPr>
              <w:spacing w:after="0"/>
            </w:pPr>
            <w:r>
              <w:rPr>
                <w:sz w:val="17"/>
              </w:rPr>
              <w:t>No provider milestone exits without discovery, normalization, lifecycle, task, audit, failure, and documentation evidence.</w:t>
            </w:r>
          </w:p>
        </w:tc>
      </w:tr>
      <w:tr>
        <w:trPr>
          <w:cantSplit w:val="true"/>
        </w:trPr>
        <w:tc>
          <w:tcPr>
            <w:tcW w:type="dxa" w:w="1800"/>
            <w:tcMar>
              <w:top w:w="80" w:type="dxa"/>
              <w:start w:w="105" w:type="dxa"/>
              <w:bottom w:w="80" w:type="dxa"/>
              <w:end w:w="105" w:type="dxa"/>
            </w:tcMar>
            <w:vAlign w:val="center"/>
          </w:tcPr>
          <w:p>
            <w:pPr>
              <w:spacing w:after="0"/>
            </w:pPr>
            <w:r>
              <w:rPr>
                <w:sz w:val="17"/>
              </w:rPr>
              <w:t>IMP-AC-003</w:t>
            </w:r>
          </w:p>
        </w:tc>
        <w:tc>
          <w:tcPr>
            <w:tcW w:type="dxa" w:w="7560"/>
            <w:tcMar>
              <w:top w:w="80" w:type="dxa"/>
              <w:start w:w="105" w:type="dxa"/>
              <w:bottom w:w="80" w:type="dxa"/>
              <w:end w:w="105" w:type="dxa"/>
            </w:tcMar>
            <w:vAlign w:val="center"/>
          </w:tcPr>
          <w:p>
            <w:pPr>
              <w:spacing w:after="0"/>
            </w:pPr>
            <w:r>
              <w:rPr>
                <w:sz w:val="17"/>
              </w:rPr>
              <w:t>The VMware vertical slice proves the complete production-shaped path before later adapters are accepted.</w:t>
            </w:r>
          </w:p>
        </w:tc>
      </w:tr>
      <w:tr>
        <w:trPr>
          <w:cantSplit w:val="true"/>
        </w:trPr>
        <w:tc>
          <w:tcPr>
            <w:tcW w:type="dxa" w:w="1800"/>
            <w:tcMar>
              <w:top w:w="80" w:type="dxa"/>
              <w:start w:w="105" w:type="dxa"/>
              <w:bottom w:w="80" w:type="dxa"/>
              <w:end w:w="105" w:type="dxa"/>
            </w:tcMar>
            <w:vAlign w:val="center"/>
          </w:tcPr>
          <w:p>
            <w:pPr>
              <w:spacing w:after="0"/>
            </w:pPr>
            <w:r>
              <w:rPr>
                <w:sz w:val="17"/>
              </w:rPr>
              <w:t>IMP-AC-004</w:t>
            </w:r>
          </w:p>
        </w:tc>
        <w:tc>
          <w:tcPr>
            <w:tcW w:type="dxa" w:w="7560"/>
            <w:tcMar>
              <w:top w:w="80" w:type="dxa"/>
              <w:start w:w="105" w:type="dxa"/>
              <w:bottom w:w="80" w:type="dxa"/>
              <w:end w:w="105" w:type="dxa"/>
            </w:tcMar>
            <w:vAlign w:val="center"/>
          </w:tcPr>
          <w:p>
            <w:pPr>
              <w:spacing w:after="0"/>
            </w:pPr>
            <w:r>
              <w:rPr>
                <w:sz w:val="17"/>
              </w:rPr>
              <w:t>Browser closure, worker crash, provider throttling, and ambiguous operations do not cause unsafe duplicate execution or silent success.</w:t>
            </w:r>
          </w:p>
        </w:tc>
      </w:tr>
      <w:tr>
        <w:trPr>
          <w:cantSplit w:val="true"/>
        </w:trPr>
        <w:tc>
          <w:tcPr>
            <w:tcW w:type="dxa" w:w="1800"/>
            <w:tcMar>
              <w:top w:w="80" w:type="dxa"/>
              <w:start w:w="105" w:type="dxa"/>
              <w:bottom w:w="80" w:type="dxa"/>
              <w:end w:w="105" w:type="dxa"/>
            </w:tcMar>
            <w:vAlign w:val="center"/>
          </w:tcPr>
          <w:p>
            <w:pPr>
              <w:spacing w:after="0"/>
            </w:pPr>
            <w:r>
              <w:rPr>
                <w:sz w:val="17"/>
              </w:rPr>
              <w:t>IMP-AC-005</w:t>
            </w:r>
          </w:p>
        </w:tc>
        <w:tc>
          <w:tcPr>
            <w:tcW w:type="dxa" w:w="7560"/>
            <w:tcMar>
              <w:top w:w="80" w:type="dxa"/>
              <w:start w:w="105" w:type="dxa"/>
              <w:bottom w:w="80" w:type="dxa"/>
              <w:end w:w="105" w:type="dxa"/>
            </w:tcMar>
            <w:vAlign w:val="center"/>
          </w:tcPr>
          <w:p>
            <w:pPr>
              <w:spacing w:after="0"/>
            </w:pPr>
            <w:r>
              <w:rPr>
                <w:sz w:val="17"/>
              </w:rPr>
              <w:t>No secret appears in client, database nonsecret fields, queues, logs, audit, errors, or test artifacts.</w:t>
            </w:r>
          </w:p>
        </w:tc>
      </w:tr>
      <w:tr>
        <w:trPr>
          <w:cantSplit w:val="true"/>
        </w:trPr>
        <w:tc>
          <w:tcPr>
            <w:tcW w:type="dxa" w:w="1800"/>
            <w:tcMar>
              <w:top w:w="80" w:type="dxa"/>
              <w:start w:w="105" w:type="dxa"/>
              <w:bottom w:w="80" w:type="dxa"/>
              <w:end w:w="105" w:type="dxa"/>
            </w:tcMar>
            <w:vAlign w:val="center"/>
          </w:tcPr>
          <w:p>
            <w:pPr>
              <w:spacing w:after="0"/>
            </w:pPr>
            <w:r>
              <w:rPr>
                <w:sz w:val="17"/>
              </w:rPr>
              <w:t>IMP-AC-006</w:t>
            </w:r>
          </w:p>
        </w:tc>
        <w:tc>
          <w:tcPr>
            <w:tcW w:type="dxa" w:w="7560"/>
            <w:tcMar>
              <w:top w:w="80" w:type="dxa"/>
              <w:start w:w="105" w:type="dxa"/>
              <w:bottom w:w="80" w:type="dxa"/>
              <w:end w:w="105" w:type="dxa"/>
            </w:tcMar>
            <w:vAlign w:val="center"/>
          </w:tcPr>
          <w:p>
            <w:pPr>
              <w:spacing w:after="0"/>
            </w:pPr>
            <w:r>
              <w:rPr>
                <w:sz w:val="17"/>
              </w:rPr>
              <w:t>Reference-scale performance, recovery, accessibility, and security targets pass before RC.</w:t>
            </w:r>
          </w:p>
        </w:tc>
      </w:tr>
      <w:tr>
        <w:trPr>
          <w:cantSplit w:val="true"/>
        </w:trPr>
        <w:tc>
          <w:tcPr>
            <w:tcW w:type="dxa" w:w="1800"/>
            <w:tcMar>
              <w:top w:w="80" w:type="dxa"/>
              <w:start w:w="105" w:type="dxa"/>
              <w:bottom w:w="80" w:type="dxa"/>
              <w:end w:w="105" w:type="dxa"/>
            </w:tcMar>
            <w:vAlign w:val="center"/>
          </w:tcPr>
          <w:p>
            <w:pPr>
              <w:spacing w:after="0"/>
            </w:pPr>
            <w:r>
              <w:rPr>
                <w:sz w:val="17"/>
              </w:rPr>
              <w:t>IMP-AC-007</w:t>
            </w:r>
          </w:p>
        </w:tc>
        <w:tc>
          <w:tcPr>
            <w:tcW w:type="dxa" w:w="7560"/>
            <w:tcMar>
              <w:top w:w="80" w:type="dxa"/>
              <w:start w:w="105" w:type="dxa"/>
              <w:bottom w:w="80" w:type="dxa"/>
              <w:end w:w="105" w:type="dxa"/>
            </w:tcMar>
            <w:vAlign w:val="center"/>
          </w:tcPr>
          <w:p>
            <w:pPr>
              <w:spacing w:after="0"/>
            </w:pPr>
            <w:r>
              <w:rPr>
                <w:sz w:val="17"/>
              </w:rPr>
              <w:t>Release artifacts are signed, reproducible, scanned, and accompanied by SBOM and provenance.</w:t>
            </w:r>
          </w:p>
        </w:tc>
      </w:tr>
      <w:tr>
        <w:trPr>
          <w:cantSplit w:val="true"/>
        </w:trPr>
        <w:tc>
          <w:tcPr>
            <w:tcW w:type="dxa" w:w="1800"/>
            <w:tcMar>
              <w:top w:w="80" w:type="dxa"/>
              <w:start w:w="105" w:type="dxa"/>
              <w:bottom w:w="80" w:type="dxa"/>
              <w:end w:w="105" w:type="dxa"/>
            </w:tcMar>
            <w:vAlign w:val="center"/>
          </w:tcPr>
          <w:p>
            <w:pPr>
              <w:spacing w:after="0"/>
            </w:pPr>
            <w:r>
              <w:rPr>
                <w:sz w:val="17"/>
              </w:rPr>
              <w:t>IMP-AC-008</w:t>
            </w:r>
          </w:p>
        </w:tc>
        <w:tc>
          <w:tcPr>
            <w:tcW w:type="dxa" w:w="7560"/>
            <w:tcMar>
              <w:top w:w="80" w:type="dxa"/>
              <w:start w:w="105" w:type="dxa"/>
              <w:bottom w:w="80" w:type="dxa"/>
              <w:end w:w="105" w:type="dxa"/>
            </w:tcMar>
            <w:vAlign w:val="center"/>
          </w:tcPr>
          <w:p>
            <w:pPr>
              <w:spacing w:after="0"/>
            </w:pPr>
            <w:r>
              <w:rPr>
                <w:sz w:val="17"/>
              </w:rPr>
              <w:t>Install, upgrade, backup/restore, provider setup, and troubleshooting are executed from documentation by a nonauthor.</w:t>
            </w:r>
          </w:p>
        </w:tc>
      </w:tr>
      <w:tr>
        <w:trPr>
          <w:cantSplit w:val="true"/>
        </w:trPr>
        <w:tc>
          <w:tcPr>
            <w:tcW w:type="dxa" w:w="1800"/>
            <w:tcMar>
              <w:top w:w="80" w:type="dxa"/>
              <w:start w:w="105" w:type="dxa"/>
              <w:bottom w:w="80" w:type="dxa"/>
              <w:end w:w="105" w:type="dxa"/>
            </w:tcMar>
            <w:vAlign w:val="center"/>
          </w:tcPr>
          <w:p>
            <w:pPr>
              <w:spacing w:after="0"/>
            </w:pPr>
            <w:r>
              <w:rPr>
                <w:sz w:val="17"/>
              </w:rPr>
              <w:t>IMP-AC-009</w:t>
            </w:r>
          </w:p>
        </w:tc>
        <w:tc>
          <w:tcPr>
            <w:tcW w:type="dxa" w:w="7560"/>
            <w:tcMar>
              <w:top w:w="80" w:type="dxa"/>
              <w:start w:w="105" w:type="dxa"/>
              <w:bottom w:w="80" w:type="dxa"/>
              <w:end w:w="105" w:type="dxa"/>
            </w:tcMar>
            <w:vAlign w:val="center"/>
          </w:tcPr>
          <w:p>
            <w:pPr>
              <w:spacing w:after="0"/>
            </w:pPr>
            <w:r>
              <w:rPr>
                <w:sz w:val="17"/>
              </w:rPr>
              <w:t>All open decisions required for v0.1 are closed or explicitly accepted as release limitations.</w:t>
            </w:r>
          </w:p>
        </w:tc>
      </w:tr>
      <w:tr>
        <w:trPr>
          <w:cantSplit w:val="true"/>
        </w:trPr>
        <w:tc>
          <w:tcPr>
            <w:tcW w:type="dxa" w:w="1800"/>
            <w:tcMar>
              <w:top w:w="80" w:type="dxa"/>
              <w:start w:w="105" w:type="dxa"/>
              <w:bottom w:w="80" w:type="dxa"/>
              <w:end w:w="105" w:type="dxa"/>
            </w:tcMar>
            <w:vAlign w:val="center"/>
          </w:tcPr>
          <w:p>
            <w:pPr>
              <w:spacing w:after="0"/>
            </w:pPr>
            <w:r>
              <w:rPr>
                <w:sz w:val="17"/>
              </w:rPr>
              <w:t>IMP-AC-010</w:t>
            </w:r>
          </w:p>
        </w:tc>
        <w:tc>
          <w:tcPr>
            <w:tcW w:type="dxa" w:w="7560"/>
            <w:tcMar>
              <w:top w:w="80" w:type="dxa"/>
              <w:start w:w="105" w:type="dxa"/>
              <w:bottom w:w="80" w:type="dxa"/>
              <w:end w:w="105" w:type="dxa"/>
            </w:tcMar>
            <w:vAlign w:val="center"/>
          </w:tcPr>
          <w:p>
            <w:pPr>
              <w:spacing w:after="0"/>
            </w:pPr>
            <w:r>
              <w:rPr>
                <w:sz w:val="17"/>
              </w:rPr>
              <w:t>Release gate records approvals, residual risks, known limitations, and post-v0.1 backlog.</w:t>
            </w:r>
          </w:p>
        </w:tc>
      </w:tr>
    </w:tbl>
    <w:p>
      <w:pPr>
        <w:spacing w:after="20"/>
      </w:pPr>
    </w:p>
    <w:p>
      <w:pPr>
        <w:pStyle w:val="Heading1"/>
        <w:keepNext/>
      </w:pPr>
      <w:r>
        <w:t>28. Immediate First-Sprint Backlog</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936"/>
            <w:shd w:fill="17365D"/>
            <w:tcMar>
              <w:top w:w="80" w:type="dxa"/>
              <w:start w:w="105" w:type="dxa"/>
              <w:bottom w:w="80" w:type="dxa"/>
              <w:end w:w="105" w:type="dxa"/>
            </w:tcMar>
          </w:tcPr>
          <w:p>
            <w:r>
              <w:rPr>
                <w:b/>
                <w:color w:val="FFFFFF"/>
                <w:sz w:val="17"/>
              </w:rPr>
              <w:t>Priority</w:t>
            </w:r>
          </w:p>
        </w:tc>
        <w:tc>
          <w:tcPr>
            <w:tcW w:type="dxa" w:w="4824"/>
            <w:shd w:fill="17365D"/>
            <w:tcMar>
              <w:top w:w="80" w:type="dxa"/>
              <w:start w:w="105" w:type="dxa"/>
              <w:bottom w:w="80" w:type="dxa"/>
              <w:end w:w="105" w:type="dxa"/>
            </w:tcMar>
          </w:tcPr>
          <w:p>
            <w:r>
              <w:rPr>
                <w:b/>
                <w:color w:val="FFFFFF"/>
                <w:sz w:val="17"/>
              </w:rPr>
              <w:t>Work item</w:t>
            </w:r>
          </w:p>
        </w:tc>
        <w:tc>
          <w:tcPr>
            <w:tcW w:type="dxa" w:w="3600"/>
            <w:shd w:fill="17365D"/>
            <w:tcMar>
              <w:top w:w="80" w:type="dxa"/>
              <w:start w:w="105" w:type="dxa"/>
              <w:bottom w:w="80" w:type="dxa"/>
              <w:end w:w="105" w:type="dxa"/>
            </w:tcMar>
          </w:tcPr>
          <w:p>
            <w:r>
              <w:rPr>
                <w:b/>
                <w:color w:val="FFFFFF"/>
                <w:sz w:val="17"/>
              </w:rPr>
              <w:t>Outcome</w:t>
            </w:r>
          </w:p>
        </w:tc>
      </w:tr>
      <w:tr>
        <w:trPr>
          <w:cantSplit w:val="true"/>
        </w:trPr>
        <w:tc>
          <w:tcPr>
            <w:tcW w:type="dxa" w:w="936"/>
            <w:tcMar>
              <w:top w:w="80" w:type="dxa"/>
              <w:start w:w="105" w:type="dxa"/>
              <w:bottom w:w="80" w:type="dxa"/>
              <w:end w:w="105" w:type="dxa"/>
            </w:tcMar>
            <w:vAlign w:val="center"/>
          </w:tcPr>
          <w:p>
            <w:pPr>
              <w:spacing w:after="0"/>
            </w:pPr>
            <w:r>
              <w:rPr>
                <w:sz w:val="17"/>
              </w:rPr>
              <w:t>P0</w:t>
            </w:r>
          </w:p>
        </w:tc>
        <w:tc>
          <w:tcPr>
            <w:tcW w:type="dxa" w:w="4824"/>
            <w:tcMar>
              <w:top w:w="80" w:type="dxa"/>
              <w:start w:w="105" w:type="dxa"/>
              <w:bottom w:w="80" w:type="dxa"/>
              <w:end w:w="105" w:type="dxa"/>
            </w:tcMar>
            <w:vAlign w:val="center"/>
          </w:tcPr>
          <w:p>
            <w:pPr>
              <w:spacing w:after="0"/>
            </w:pPr>
            <w:r>
              <w:rPr>
                <w:sz w:val="17"/>
              </w:rPr>
              <w:t>Approve M0 decisions, ownership, capacity, and provider access</w:t>
            </w:r>
          </w:p>
        </w:tc>
        <w:tc>
          <w:tcPr>
            <w:tcW w:type="dxa" w:w="3600"/>
            <w:tcMar>
              <w:top w:w="80" w:type="dxa"/>
              <w:start w:w="105" w:type="dxa"/>
              <w:bottom w:w="80" w:type="dxa"/>
              <w:end w:w="105" w:type="dxa"/>
            </w:tcMar>
            <w:vAlign w:val="center"/>
          </w:tcPr>
          <w:p>
            <w:pPr>
              <w:spacing w:after="0"/>
            </w:pPr>
            <w:r>
              <w:rPr>
                <w:sz w:val="17"/>
              </w:rPr>
              <w:t>Program unblocked</w:t>
            </w:r>
          </w:p>
        </w:tc>
      </w:tr>
      <w:tr>
        <w:trPr>
          <w:cantSplit w:val="true"/>
        </w:trPr>
        <w:tc>
          <w:tcPr>
            <w:tcW w:type="dxa" w:w="936"/>
            <w:tcMar>
              <w:top w:w="80" w:type="dxa"/>
              <w:start w:w="105" w:type="dxa"/>
              <w:bottom w:w="80" w:type="dxa"/>
              <w:end w:w="105" w:type="dxa"/>
            </w:tcMar>
            <w:vAlign w:val="center"/>
          </w:tcPr>
          <w:p>
            <w:pPr>
              <w:spacing w:after="0"/>
            </w:pPr>
            <w:r>
              <w:rPr>
                <w:sz w:val="17"/>
              </w:rPr>
              <w:t>P0</w:t>
            </w:r>
          </w:p>
        </w:tc>
        <w:tc>
          <w:tcPr>
            <w:tcW w:type="dxa" w:w="4824"/>
            <w:tcMar>
              <w:top w:w="80" w:type="dxa"/>
              <w:start w:w="105" w:type="dxa"/>
              <w:bottom w:w="80" w:type="dxa"/>
              <w:end w:w="105" w:type="dxa"/>
            </w:tcMar>
            <w:vAlign w:val="center"/>
          </w:tcPr>
          <w:p>
            <w:pPr>
              <w:spacing w:after="0"/>
            </w:pPr>
            <w:r>
              <w:rPr>
                <w:sz w:val="17"/>
              </w:rPr>
              <w:t>Create repository/solution and architecture boundary tests</w:t>
            </w:r>
          </w:p>
        </w:tc>
        <w:tc>
          <w:tcPr>
            <w:tcW w:type="dxa" w:w="3600"/>
            <w:tcMar>
              <w:top w:w="80" w:type="dxa"/>
              <w:start w:w="105" w:type="dxa"/>
              <w:bottom w:w="80" w:type="dxa"/>
              <w:end w:w="105" w:type="dxa"/>
            </w:tcMar>
            <w:vAlign w:val="center"/>
          </w:tcPr>
          <w:p>
            <w:pPr>
              <w:spacing w:after="0"/>
            </w:pPr>
            <w:r>
              <w:rPr>
                <w:sz w:val="17"/>
              </w:rPr>
              <w:t>Buildable structure</w:t>
            </w:r>
          </w:p>
        </w:tc>
      </w:tr>
      <w:tr>
        <w:trPr>
          <w:cantSplit w:val="true"/>
        </w:trPr>
        <w:tc>
          <w:tcPr>
            <w:tcW w:type="dxa" w:w="936"/>
            <w:tcMar>
              <w:top w:w="80" w:type="dxa"/>
              <w:start w:w="105" w:type="dxa"/>
              <w:bottom w:w="80" w:type="dxa"/>
              <w:end w:w="105" w:type="dxa"/>
            </w:tcMar>
            <w:vAlign w:val="center"/>
          </w:tcPr>
          <w:p>
            <w:pPr>
              <w:spacing w:after="0"/>
            </w:pPr>
            <w:r>
              <w:rPr>
                <w:sz w:val="17"/>
              </w:rPr>
              <w:t>P0</w:t>
            </w:r>
          </w:p>
        </w:tc>
        <w:tc>
          <w:tcPr>
            <w:tcW w:type="dxa" w:w="4824"/>
            <w:tcMar>
              <w:top w:w="80" w:type="dxa"/>
              <w:start w:w="105" w:type="dxa"/>
              <w:bottom w:w="80" w:type="dxa"/>
              <w:end w:w="105" w:type="dxa"/>
            </w:tcMar>
            <w:vAlign w:val="center"/>
          </w:tcPr>
          <w:p>
            <w:pPr>
              <w:spacing w:after="0"/>
            </w:pPr>
            <w:r>
              <w:rPr>
                <w:sz w:val="17"/>
              </w:rPr>
              <w:t>Create local PostgreSQL/broker/API/worker/web environment</w:t>
            </w:r>
          </w:p>
        </w:tc>
        <w:tc>
          <w:tcPr>
            <w:tcW w:type="dxa" w:w="3600"/>
            <w:tcMar>
              <w:top w:w="80" w:type="dxa"/>
              <w:start w:w="105" w:type="dxa"/>
              <w:bottom w:w="80" w:type="dxa"/>
              <w:end w:w="105" w:type="dxa"/>
            </w:tcMar>
            <w:vAlign w:val="center"/>
          </w:tcPr>
          <w:p>
            <w:pPr>
              <w:spacing w:after="0"/>
            </w:pPr>
            <w:r>
              <w:rPr>
                <w:sz w:val="17"/>
              </w:rPr>
              <w:t>One-command platform</w:t>
            </w:r>
          </w:p>
        </w:tc>
      </w:tr>
      <w:tr>
        <w:trPr>
          <w:cantSplit w:val="true"/>
        </w:trPr>
        <w:tc>
          <w:tcPr>
            <w:tcW w:type="dxa" w:w="936"/>
            <w:tcMar>
              <w:top w:w="80" w:type="dxa"/>
              <w:start w:w="105" w:type="dxa"/>
              <w:bottom w:w="80" w:type="dxa"/>
              <w:end w:w="105" w:type="dxa"/>
            </w:tcMar>
            <w:vAlign w:val="center"/>
          </w:tcPr>
          <w:p>
            <w:pPr>
              <w:spacing w:after="0"/>
            </w:pPr>
            <w:r>
              <w:rPr>
                <w:sz w:val="17"/>
              </w:rPr>
              <w:t>P0</w:t>
            </w:r>
          </w:p>
        </w:tc>
        <w:tc>
          <w:tcPr>
            <w:tcW w:type="dxa" w:w="4824"/>
            <w:tcMar>
              <w:top w:w="80" w:type="dxa"/>
              <w:start w:w="105" w:type="dxa"/>
              <w:bottom w:w="80" w:type="dxa"/>
              <w:end w:w="105" w:type="dxa"/>
            </w:tcMar>
            <w:vAlign w:val="center"/>
          </w:tcPr>
          <w:p>
            <w:pPr>
              <w:spacing w:after="0"/>
            </w:pPr>
            <w:r>
              <w:rPr>
                <w:sz w:val="17"/>
              </w:rPr>
              <w:t>Establish CI build/unit/lint/security scan</w:t>
            </w:r>
          </w:p>
        </w:tc>
        <w:tc>
          <w:tcPr>
            <w:tcW w:type="dxa" w:w="3600"/>
            <w:tcMar>
              <w:top w:w="80" w:type="dxa"/>
              <w:start w:w="105" w:type="dxa"/>
              <w:bottom w:w="80" w:type="dxa"/>
              <w:end w:w="105" w:type="dxa"/>
            </w:tcMar>
            <w:vAlign w:val="center"/>
          </w:tcPr>
          <w:p>
            <w:pPr>
              <w:spacing w:after="0"/>
            </w:pPr>
            <w:r>
              <w:rPr>
                <w:sz w:val="17"/>
              </w:rPr>
              <w:t>Protected main branch</w:t>
            </w:r>
          </w:p>
        </w:tc>
      </w:tr>
      <w:tr>
        <w:trPr>
          <w:cantSplit w:val="true"/>
        </w:trPr>
        <w:tc>
          <w:tcPr>
            <w:tcW w:type="dxa" w:w="936"/>
            <w:tcMar>
              <w:top w:w="80" w:type="dxa"/>
              <w:start w:w="105" w:type="dxa"/>
              <w:bottom w:w="80" w:type="dxa"/>
              <w:end w:w="105" w:type="dxa"/>
            </w:tcMar>
            <w:vAlign w:val="center"/>
          </w:tcPr>
          <w:p>
            <w:pPr>
              <w:spacing w:after="0"/>
            </w:pPr>
            <w:r>
              <w:rPr>
                <w:sz w:val="17"/>
              </w:rPr>
              <w:t>P0</w:t>
            </w:r>
          </w:p>
        </w:tc>
        <w:tc>
          <w:tcPr>
            <w:tcW w:type="dxa" w:w="4824"/>
            <w:tcMar>
              <w:top w:w="80" w:type="dxa"/>
              <w:start w:w="105" w:type="dxa"/>
              <w:bottom w:w="80" w:type="dxa"/>
              <w:end w:w="105" w:type="dxa"/>
            </w:tcMar>
            <w:vAlign w:val="center"/>
          </w:tcPr>
          <w:p>
            <w:pPr>
              <w:spacing w:after="0"/>
            </w:pPr>
            <w:r>
              <w:rPr>
                <w:sz w:val="17"/>
              </w:rPr>
              <w:t>Create OpenAPI, migration, and message-contract validation</w:t>
            </w:r>
          </w:p>
        </w:tc>
        <w:tc>
          <w:tcPr>
            <w:tcW w:type="dxa" w:w="3600"/>
            <w:tcMar>
              <w:top w:w="80" w:type="dxa"/>
              <w:start w:w="105" w:type="dxa"/>
              <w:bottom w:w="80" w:type="dxa"/>
              <w:end w:w="105" w:type="dxa"/>
            </w:tcMar>
            <w:vAlign w:val="center"/>
          </w:tcPr>
          <w:p>
            <w:pPr>
              <w:spacing w:after="0"/>
            </w:pPr>
            <w:r>
              <w:rPr>
                <w:sz w:val="17"/>
              </w:rPr>
              <w:t>Contract discipline</w:t>
            </w:r>
          </w:p>
        </w:tc>
      </w:tr>
      <w:tr>
        <w:trPr>
          <w:cantSplit w:val="true"/>
        </w:trPr>
        <w:tc>
          <w:tcPr>
            <w:tcW w:type="dxa" w:w="936"/>
            <w:tcMar>
              <w:top w:w="80" w:type="dxa"/>
              <w:start w:w="105" w:type="dxa"/>
              <w:bottom w:w="80" w:type="dxa"/>
              <w:end w:w="105" w:type="dxa"/>
            </w:tcMar>
            <w:vAlign w:val="center"/>
          </w:tcPr>
          <w:p>
            <w:pPr>
              <w:spacing w:after="0"/>
            </w:pPr>
            <w:r>
              <w:rPr>
                <w:sz w:val="17"/>
              </w:rPr>
              <w:t>P0</w:t>
            </w:r>
          </w:p>
        </w:tc>
        <w:tc>
          <w:tcPr>
            <w:tcW w:type="dxa" w:w="4824"/>
            <w:tcMar>
              <w:top w:w="80" w:type="dxa"/>
              <w:start w:w="105" w:type="dxa"/>
              <w:bottom w:w="80" w:type="dxa"/>
              <w:end w:w="105" w:type="dxa"/>
            </w:tcMar>
            <w:vAlign w:val="center"/>
          </w:tcPr>
          <w:p>
            <w:pPr>
              <w:spacing w:after="0"/>
            </w:pPr>
            <w:r>
              <w:rPr>
                <w:sz w:val="17"/>
              </w:rPr>
              <w:t>Implement correlation and telemetry skeleton</w:t>
            </w:r>
          </w:p>
        </w:tc>
        <w:tc>
          <w:tcPr>
            <w:tcW w:type="dxa" w:w="3600"/>
            <w:tcMar>
              <w:top w:w="80" w:type="dxa"/>
              <w:start w:w="105" w:type="dxa"/>
              <w:bottom w:w="80" w:type="dxa"/>
              <w:end w:w="105" w:type="dxa"/>
            </w:tcMar>
            <w:vAlign w:val="center"/>
          </w:tcPr>
          <w:p>
            <w:pPr>
              <w:spacing w:after="0"/>
            </w:pPr>
            <w:r>
              <w:rPr>
                <w:sz w:val="17"/>
              </w:rPr>
              <w:t>Observable request → worker mock</w:t>
            </w:r>
          </w:p>
        </w:tc>
      </w:tr>
      <w:tr>
        <w:trPr>
          <w:cantSplit w:val="true"/>
        </w:trPr>
        <w:tc>
          <w:tcPr>
            <w:tcW w:type="dxa" w:w="936"/>
            <w:tcMar>
              <w:top w:w="80" w:type="dxa"/>
              <w:start w:w="105" w:type="dxa"/>
              <w:bottom w:w="80" w:type="dxa"/>
              <w:end w:w="105" w:type="dxa"/>
            </w:tcMar>
            <w:vAlign w:val="center"/>
          </w:tcPr>
          <w:p>
            <w:pPr>
              <w:spacing w:after="0"/>
            </w:pPr>
            <w:r>
              <w:rPr>
                <w:sz w:val="17"/>
              </w:rPr>
              <w:t>P1</w:t>
            </w:r>
          </w:p>
        </w:tc>
        <w:tc>
          <w:tcPr>
            <w:tcW w:type="dxa" w:w="4824"/>
            <w:tcMar>
              <w:top w:w="80" w:type="dxa"/>
              <w:start w:w="105" w:type="dxa"/>
              <w:bottom w:w="80" w:type="dxa"/>
              <w:end w:w="105" w:type="dxa"/>
            </w:tcMar>
            <w:vAlign w:val="center"/>
          </w:tcPr>
          <w:p>
            <w:pPr>
              <w:spacing w:after="0"/>
            </w:pPr>
            <w:r>
              <w:rPr>
                <w:sz w:val="17"/>
              </w:rPr>
              <w:t>Build deterministic mock provider adapter</w:t>
            </w:r>
          </w:p>
        </w:tc>
        <w:tc>
          <w:tcPr>
            <w:tcW w:type="dxa" w:w="3600"/>
            <w:tcMar>
              <w:top w:w="80" w:type="dxa"/>
              <w:start w:w="105" w:type="dxa"/>
              <w:bottom w:w="80" w:type="dxa"/>
              <w:end w:w="105" w:type="dxa"/>
            </w:tcMar>
            <w:vAlign w:val="center"/>
          </w:tcPr>
          <w:p>
            <w:pPr>
              <w:spacing w:after="0"/>
            </w:pPr>
            <w:r>
              <w:rPr>
                <w:sz w:val="17"/>
              </w:rPr>
              <w:t>Parallel backend/UI testing</w:t>
            </w:r>
          </w:p>
        </w:tc>
      </w:tr>
      <w:tr>
        <w:trPr>
          <w:cantSplit w:val="true"/>
        </w:trPr>
        <w:tc>
          <w:tcPr>
            <w:tcW w:type="dxa" w:w="936"/>
            <w:tcMar>
              <w:top w:w="80" w:type="dxa"/>
              <w:start w:w="105" w:type="dxa"/>
              <w:bottom w:w="80" w:type="dxa"/>
              <w:end w:w="105" w:type="dxa"/>
            </w:tcMar>
            <w:vAlign w:val="center"/>
          </w:tcPr>
          <w:p>
            <w:pPr>
              <w:spacing w:after="0"/>
            </w:pPr>
            <w:r>
              <w:rPr>
                <w:sz w:val="17"/>
              </w:rPr>
              <w:t>P1</w:t>
            </w:r>
          </w:p>
        </w:tc>
        <w:tc>
          <w:tcPr>
            <w:tcW w:type="dxa" w:w="4824"/>
            <w:tcMar>
              <w:top w:w="80" w:type="dxa"/>
              <w:start w:w="105" w:type="dxa"/>
              <w:bottom w:w="80" w:type="dxa"/>
              <w:end w:w="105" w:type="dxa"/>
            </w:tcMar>
            <w:vAlign w:val="center"/>
          </w:tcPr>
          <w:p>
            <w:pPr>
              <w:spacing w:after="0"/>
            </w:pPr>
            <w:r>
              <w:rPr>
                <w:sz w:val="17"/>
              </w:rPr>
              <w:t>Draft initial schema migration and identity seed</w:t>
            </w:r>
          </w:p>
        </w:tc>
        <w:tc>
          <w:tcPr>
            <w:tcW w:type="dxa" w:w="3600"/>
            <w:tcMar>
              <w:top w:w="80" w:type="dxa"/>
              <w:start w:w="105" w:type="dxa"/>
              <w:bottom w:w="80" w:type="dxa"/>
              <w:end w:w="105" w:type="dxa"/>
            </w:tcMar>
            <w:vAlign w:val="center"/>
          </w:tcPr>
          <w:p>
            <w:pPr>
              <w:spacing w:after="0"/>
            </w:pPr>
            <w:r>
              <w:rPr>
                <w:sz w:val="17"/>
              </w:rPr>
              <w:t>M2 head start</w:t>
            </w:r>
          </w:p>
        </w:tc>
      </w:tr>
      <w:tr>
        <w:trPr>
          <w:cantSplit w:val="true"/>
        </w:trPr>
        <w:tc>
          <w:tcPr>
            <w:tcW w:type="dxa" w:w="936"/>
            <w:tcMar>
              <w:top w:w="80" w:type="dxa"/>
              <w:start w:w="105" w:type="dxa"/>
              <w:bottom w:w="80" w:type="dxa"/>
              <w:end w:w="105" w:type="dxa"/>
            </w:tcMar>
            <w:vAlign w:val="center"/>
          </w:tcPr>
          <w:p>
            <w:pPr>
              <w:spacing w:after="0"/>
            </w:pPr>
            <w:r>
              <w:rPr>
                <w:sz w:val="17"/>
              </w:rPr>
              <w:t>P1</w:t>
            </w:r>
          </w:p>
        </w:tc>
        <w:tc>
          <w:tcPr>
            <w:tcW w:type="dxa" w:w="4824"/>
            <w:tcMar>
              <w:top w:w="80" w:type="dxa"/>
              <w:start w:w="105" w:type="dxa"/>
              <w:bottom w:w="80" w:type="dxa"/>
              <w:end w:w="105" w:type="dxa"/>
            </w:tcMar>
            <w:vAlign w:val="center"/>
          </w:tcPr>
          <w:p>
            <w:pPr>
              <w:spacing w:after="0"/>
            </w:pPr>
            <w:r>
              <w:rPr>
                <w:sz w:val="17"/>
              </w:rPr>
              <w:t>Start VMware SDK/permissions compatibility spike</w:t>
            </w:r>
          </w:p>
        </w:tc>
        <w:tc>
          <w:tcPr>
            <w:tcW w:type="dxa" w:w="3600"/>
            <w:tcMar>
              <w:top w:w="80" w:type="dxa"/>
              <w:start w:w="105" w:type="dxa"/>
              <w:bottom w:w="80" w:type="dxa"/>
              <w:end w:w="105" w:type="dxa"/>
            </w:tcMar>
            <w:vAlign w:val="center"/>
          </w:tcPr>
          <w:p>
            <w:pPr>
              <w:spacing w:after="0"/>
            </w:pPr>
            <w:r>
              <w:rPr>
                <w:sz w:val="17"/>
              </w:rPr>
              <w:t>Reduce critical-path risk</w:t>
            </w:r>
          </w:p>
        </w:tc>
      </w:tr>
      <w:tr>
        <w:trPr>
          <w:cantSplit w:val="true"/>
        </w:trPr>
        <w:tc>
          <w:tcPr>
            <w:tcW w:type="dxa" w:w="936"/>
            <w:tcMar>
              <w:top w:w="80" w:type="dxa"/>
              <w:start w:w="105" w:type="dxa"/>
              <w:bottom w:w="80" w:type="dxa"/>
              <w:end w:w="105" w:type="dxa"/>
            </w:tcMar>
            <w:vAlign w:val="center"/>
          </w:tcPr>
          <w:p>
            <w:pPr>
              <w:spacing w:after="0"/>
            </w:pPr>
            <w:r>
              <w:rPr>
                <w:sz w:val="17"/>
              </w:rPr>
              <w:t>P1</w:t>
            </w:r>
          </w:p>
        </w:tc>
        <w:tc>
          <w:tcPr>
            <w:tcW w:type="dxa" w:w="4824"/>
            <w:tcMar>
              <w:top w:w="80" w:type="dxa"/>
              <w:start w:w="105" w:type="dxa"/>
              <w:bottom w:w="80" w:type="dxa"/>
              <w:end w:w="105" w:type="dxa"/>
            </w:tcMar>
            <w:vAlign w:val="center"/>
          </w:tcPr>
          <w:p>
            <w:pPr>
              <w:spacing w:after="0"/>
            </w:pPr>
            <w:r>
              <w:rPr>
                <w:sz w:val="17"/>
              </w:rPr>
              <w:t>Draft Enterprise UI/UX Specification</w:t>
            </w:r>
          </w:p>
        </w:tc>
        <w:tc>
          <w:tcPr>
            <w:tcW w:type="dxa" w:w="3600"/>
            <w:tcMar>
              <w:top w:w="80" w:type="dxa"/>
              <w:start w:w="105" w:type="dxa"/>
              <w:bottom w:w="80" w:type="dxa"/>
              <w:end w:w="105" w:type="dxa"/>
            </w:tcMar>
            <w:vAlign w:val="center"/>
          </w:tcPr>
          <w:p>
            <w:pPr>
              <w:spacing w:after="0"/>
            </w:pPr>
            <w:r>
              <w:rPr>
                <w:sz w:val="17"/>
              </w:rPr>
              <w:t>Prepare M5 without inventing interaction contracts</w:t>
            </w:r>
          </w:p>
        </w:tc>
      </w:tr>
    </w:tbl>
    <w:p>
      <w:pPr>
        <w:spacing w:after="20"/>
      </w:pPr>
    </w:p>
    <w:p>
      <w:pPr>
        <w:pStyle w:val="Heading1"/>
        <w:keepNext/>
      </w:pPr>
      <w:r>
        <w:t>Appendix A — Estimate Summary</w:t>
      </w:r>
    </w:p>
    <w:tbl>
      <w:tblPr>
        <w:tblStyle w:val="TableGrid"/>
        <w:tblW w:type="auto" w:w="0"/>
        <w:tblLayout w:type="fixed"/>
        <w:tblLook w:firstColumn="1" w:firstRow="1" w:lastColumn="0" w:lastRow="0" w:noHBand="0" w:noVBand="1" w:val="04A0"/>
      </w:tblPr>
      <w:tblGrid>
        <w:gridCol w:w="3255"/>
        <w:gridCol w:w="3255"/>
        <w:gridCol w:w="3255"/>
      </w:tblGrid>
      <w:tr>
        <w:trPr>
          <w:tblHeader w:val="true"/>
        </w:trPr>
        <w:tc>
          <w:tcPr>
            <w:tcW w:type="dxa" w:w="2952"/>
            <w:shd w:fill="17365D"/>
            <w:tcMar>
              <w:top w:w="80" w:type="dxa"/>
              <w:start w:w="105" w:type="dxa"/>
              <w:bottom w:w="80" w:type="dxa"/>
              <w:end w:w="105" w:type="dxa"/>
            </w:tcMar>
          </w:tcPr>
          <w:p>
            <w:r>
              <w:rPr>
                <w:b/>
                <w:color w:val="FFFFFF"/>
                <w:sz w:val="17"/>
              </w:rPr>
              <w:t>Workstream</w:t>
            </w:r>
          </w:p>
        </w:tc>
        <w:tc>
          <w:tcPr>
            <w:tcW w:type="dxa" w:w="2304"/>
            <w:shd w:fill="17365D"/>
            <w:tcMar>
              <w:top w:w="80" w:type="dxa"/>
              <w:start w:w="105" w:type="dxa"/>
              <w:bottom w:w="80" w:type="dxa"/>
              <w:end w:w="105" w:type="dxa"/>
            </w:tcMar>
          </w:tcPr>
          <w:p>
            <w:r>
              <w:rPr>
                <w:b/>
                <w:color w:val="FFFFFF"/>
                <w:sz w:val="17"/>
              </w:rPr>
              <w:t>Approximate ideal effort</w:t>
            </w:r>
          </w:p>
        </w:tc>
        <w:tc>
          <w:tcPr>
            <w:tcW w:type="dxa" w:w="4104"/>
            <w:shd w:fill="17365D"/>
            <w:tcMar>
              <w:top w:w="80" w:type="dxa"/>
              <w:start w:w="105" w:type="dxa"/>
              <w:bottom w:w="80" w:type="dxa"/>
              <w:end w:w="105" w:type="dxa"/>
            </w:tcMar>
          </w:tcPr>
          <w:p>
            <w:r>
              <w:rPr>
                <w:b/>
                <w:color w:val="FFFFFF"/>
                <w:sz w:val="17"/>
              </w:rPr>
              <w:t>Primary uncertainty</w:t>
            </w:r>
          </w:p>
        </w:tc>
      </w:tr>
      <w:tr>
        <w:trPr>
          <w:cantSplit w:val="true"/>
        </w:trPr>
        <w:tc>
          <w:tcPr>
            <w:tcW w:type="dxa" w:w="2952"/>
            <w:tcMar>
              <w:top w:w="80" w:type="dxa"/>
              <w:start w:w="105" w:type="dxa"/>
              <w:bottom w:w="80" w:type="dxa"/>
              <w:end w:w="105" w:type="dxa"/>
            </w:tcMar>
            <w:vAlign w:val="center"/>
          </w:tcPr>
          <w:p>
            <w:pPr>
              <w:spacing w:after="0"/>
            </w:pPr>
            <w:r>
              <w:rPr>
                <w:sz w:val="17"/>
              </w:rPr>
              <w:t>Foundation/platform</w:t>
            </w:r>
          </w:p>
        </w:tc>
        <w:tc>
          <w:tcPr>
            <w:tcW w:type="dxa" w:w="2304"/>
            <w:tcMar>
              <w:top w:w="80" w:type="dxa"/>
              <w:start w:w="105" w:type="dxa"/>
              <w:bottom w:w="80" w:type="dxa"/>
              <w:end w:w="105" w:type="dxa"/>
            </w:tcMar>
            <w:vAlign w:val="center"/>
          </w:tcPr>
          <w:p>
            <w:pPr>
              <w:spacing w:after="0"/>
            </w:pPr>
            <w:r>
              <w:rPr>
                <w:sz w:val="17"/>
              </w:rPr>
              <w:t>28–36 engineer-weeks</w:t>
            </w:r>
          </w:p>
        </w:tc>
        <w:tc>
          <w:tcPr>
            <w:tcW w:type="dxa" w:w="4104"/>
            <w:tcMar>
              <w:top w:w="80" w:type="dxa"/>
              <w:start w:w="105" w:type="dxa"/>
              <w:bottom w:w="80" w:type="dxa"/>
              <w:end w:w="105" w:type="dxa"/>
            </w:tcMar>
            <w:vAlign w:val="center"/>
          </w:tcPr>
          <w:p>
            <w:pPr>
              <w:spacing w:after="0"/>
            </w:pPr>
            <w:r>
              <w:rPr>
                <w:sz w:val="17"/>
              </w:rPr>
              <w:t>Broker/deployment decisions</w:t>
            </w:r>
          </w:p>
        </w:tc>
      </w:tr>
      <w:tr>
        <w:trPr>
          <w:cantSplit w:val="true"/>
        </w:trPr>
        <w:tc>
          <w:tcPr>
            <w:tcW w:type="dxa" w:w="2952"/>
            <w:tcMar>
              <w:top w:w="80" w:type="dxa"/>
              <w:start w:w="105" w:type="dxa"/>
              <w:bottom w:w="80" w:type="dxa"/>
              <w:end w:w="105" w:type="dxa"/>
            </w:tcMar>
            <w:vAlign w:val="center"/>
          </w:tcPr>
          <w:p>
            <w:pPr>
              <w:spacing w:after="0"/>
            </w:pPr>
            <w:r>
              <w:rPr>
                <w:sz w:val="17"/>
              </w:rPr>
              <w:t>Identity/data/API/tasks/audit</w:t>
            </w:r>
          </w:p>
        </w:tc>
        <w:tc>
          <w:tcPr>
            <w:tcW w:type="dxa" w:w="2304"/>
            <w:tcMar>
              <w:top w:w="80" w:type="dxa"/>
              <w:start w:w="105" w:type="dxa"/>
              <w:bottom w:w="80" w:type="dxa"/>
              <w:end w:w="105" w:type="dxa"/>
            </w:tcMar>
            <w:vAlign w:val="center"/>
          </w:tcPr>
          <w:p>
            <w:pPr>
              <w:spacing w:after="0"/>
            </w:pPr>
            <w:r>
              <w:rPr>
                <w:sz w:val="17"/>
              </w:rPr>
              <w:t>38–48 engineer-weeks</w:t>
            </w:r>
          </w:p>
        </w:tc>
        <w:tc>
          <w:tcPr>
            <w:tcW w:type="dxa" w:w="4104"/>
            <w:tcMar>
              <w:top w:w="80" w:type="dxa"/>
              <w:start w:w="105" w:type="dxa"/>
              <w:bottom w:w="80" w:type="dxa"/>
              <w:end w:w="105" w:type="dxa"/>
            </w:tcMar>
            <w:vAlign w:val="center"/>
          </w:tcPr>
          <w:p>
            <w:pPr>
              <w:spacing w:after="0"/>
            </w:pPr>
            <w:r>
              <w:rPr>
                <w:sz w:val="17"/>
              </w:rPr>
              <w:t>Security and recovery semantics</w:t>
            </w:r>
          </w:p>
        </w:tc>
      </w:tr>
      <w:tr>
        <w:trPr>
          <w:cantSplit w:val="true"/>
        </w:trPr>
        <w:tc>
          <w:tcPr>
            <w:tcW w:type="dxa" w:w="2952"/>
            <w:tcMar>
              <w:top w:w="80" w:type="dxa"/>
              <w:start w:w="105" w:type="dxa"/>
              <w:bottom w:w="80" w:type="dxa"/>
              <w:end w:w="105" w:type="dxa"/>
            </w:tcMar>
            <w:vAlign w:val="center"/>
          </w:tcPr>
          <w:p>
            <w:pPr>
              <w:spacing w:after="0"/>
            </w:pPr>
            <w:r>
              <w:rPr>
                <w:sz w:val="17"/>
              </w:rPr>
              <w:t>VMware vertical slice</w:t>
            </w:r>
          </w:p>
        </w:tc>
        <w:tc>
          <w:tcPr>
            <w:tcW w:type="dxa" w:w="2304"/>
            <w:tcMar>
              <w:top w:w="80" w:type="dxa"/>
              <w:start w:w="105" w:type="dxa"/>
              <w:bottom w:w="80" w:type="dxa"/>
              <w:end w:w="105" w:type="dxa"/>
            </w:tcMar>
            <w:vAlign w:val="center"/>
          </w:tcPr>
          <w:p>
            <w:pPr>
              <w:spacing w:after="0"/>
            </w:pPr>
            <w:r>
              <w:rPr>
                <w:sz w:val="17"/>
              </w:rPr>
              <w:t>22–30 engineer-weeks</w:t>
            </w:r>
          </w:p>
        </w:tc>
        <w:tc>
          <w:tcPr>
            <w:tcW w:type="dxa" w:w="4104"/>
            <w:tcMar>
              <w:top w:w="80" w:type="dxa"/>
              <w:start w:w="105" w:type="dxa"/>
              <w:bottom w:w="80" w:type="dxa"/>
              <w:end w:w="105" w:type="dxa"/>
            </w:tcMar>
            <w:vAlign w:val="center"/>
          </w:tcPr>
          <w:p>
            <w:pPr>
              <w:spacing w:after="0"/>
            </w:pPr>
            <w:r>
              <w:rPr>
                <w:sz w:val="17"/>
              </w:rPr>
              <w:t>SDK/version/lab behavior</w:t>
            </w:r>
          </w:p>
        </w:tc>
      </w:tr>
      <w:tr>
        <w:trPr>
          <w:cantSplit w:val="true"/>
        </w:trPr>
        <w:tc>
          <w:tcPr>
            <w:tcW w:type="dxa" w:w="2952"/>
            <w:tcMar>
              <w:top w:w="80" w:type="dxa"/>
              <w:start w:w="105" w:type="dxa"/>
              <w:bottom w:w="80" w:type="dxa"/>
              <w:end w:w="105" w:type="dxa"/>
            </w:tcMar>
            <w:vAlign w:val="center"/>
          </w:tcPr>
          <w:p>
            <w:pPr>
              <w:spacing w:after="0"/>
            </w:pPr>
            <w:r>
              <w:rPr>
                <w:sz w:val="17"/>
              </w:rPr>
              <w:t>Enterprise UI</w:t>
            </w:r>
          </w:p>
        </w:tc>
        <w:tc>
          <w:tcPr>
            <w:tcW w:type="dxa" w:w="2304"/>
            <w:tcMar>
              <w:top w:w="80" w:type="dxa"/>
              <w:start w:w="105" w:type="dxa"/>
              <w:bottom w:w="80" w:type="dxa"/>
              <w:end w:w="105" w:type="dxa"/>
            </w:tcMar>
            <w:vAlign w:val="center"/>
          </w:tcPr>
          <w:p>
            <w:pPr>
              <w:spacing w:after="0"/>
            </w:pPr>
            <w:r>
              <w:rPr>
                <w:sz w:val="17"/>
              </w:rPr>
              <w:t>34–44 engineer-weeks</w:t>
            </w:r>
          </w:p>
        </w:tc>
        <w:tc>
          <w:tcPr>
            <w:tcW w:type="dxa" w:w="4104"/>
            <w:tcMar>
              <w:top w:w="80" w:type="dxa"/>
              <w:start w:w="105" w:type="dxa"/>
              <w:bottom w:w="80" w:type="dxa"/>
              <w:end w:w="105" w:type="dxa"/>
            </w:tcMar>
            <w:vAlign w:val="center"/>
          </w:tcPr>
          <w:p>
            <w:pPr>
              <w:spacing w:after="0"/>
            </w:pPr>
            <w:r>
              <w:rPr>
                <w:sz w:val="17"/>
              </w:rPr>
              <w:t>Interaction breadth and usability refinement</w:t>
            </w:r>
          </w:p>
        </w:tc>
      </w:tr>
      <w:tr>
        <w:trPr>
          <w:cantSplit w:val="true"/>
        </w:trPr>
        <w:tc>
          <w:tcPr>
            <w:tcW w:type="dxa" w:w="2952"/>
            <w:tcMar>
              <w:top w:w="80" w:type="dxa"/>
              <w:start w:w="105" w:type="dxa"/>
              <w:bottom w:w="80" w:type="dxa"/>
              <w:end w:w="105" w:type="dxa"/>
            </w:tcMar>
            <w:vAlign w:val="center"/>
          </w:tcPr>
          <w:p>
            <w:pPr>
              <w:spacing w:after="0"/>
            </w:pPr>
            <w:r>
              <w:rPr>
                <w:sz w:val="17"/>
              </w:rPr>
              <w:t>Workstation agent</w:t>
            </w:r>
          </w:p>
        </w:tc>
        <w:tc>
          <w:tcPr>
            <w:tcW w:type="dxa" w:w="2304"/>
            <w:tcMar>
              <w:top w:w="80" w:type="dxa"/>
              <w:start w:w="105" w:type="dxa"/>
              <w:bottom w:w="80" w:type="dxa"/>
              <w:end w:w="105" w:type="dxa"/>
            </w:tcMar>
            <w:vAlign w:val="center"/>
          </w:tcPr>
          <w:p>
            <w:pPr>
              <w:spacing w:after="0"/>
            </w:pPr>
            <w:r>
              <w:rPr>
                <w:sz w:val="17"/>
              </w:rPr>
              <w:t>24–34 engineer-weeks</w:t>
            </w:r>
          </w:p>
        </w:tc>
        <w:tc>
          <w:tcPr>
            <w:tcW w:type="dxa" w:w="4104"/>
            <w:tcMar>
              <w:top w:w="80" w:type="dxa"/>
              <w:start w:w="105" w:type="dxa"/>
              <w:bottom w:w="80" w:type="dxa"/>
              <w:end w:w="105" w:type="dxa"/>
            </w:tcMar>
            <w:vAlign w:val="center"/>
          </w:tcPr>
          <w:p>
            <w:pPr>
              <w:spacing w:after="0"/>
            </w:pPr>
            <w:r>
              <w:rPr>
                <w:sz w:val="17"/>
              </w:rPr>
              <w:t>Transport, signing, endpoint variability</w:t>
            </w:r>
          </w:p>
        </w:tc>
      </w:tr>
      <w:tr>
        <w:trPr>
          <w:cantSplit w:val="true"/>
        </w:trPr>
        <w:tc>
          <w:tcPr>
            <w:tcW w:type="dxa" w:w="2952"/>
            <w:tcMar>
              <w:top w:w="80" w:type="dxa"/>
              <w:start w:w="105" w:type="dxa"/>
              <w:bottom w:w="80" w:type="dxa"/>
              <w:end w:w="105" w:type="dxa"/>
            </w:tcMar>
            <w:vAlign w:val="center"/>
          </w:tcPr>
          <w:p>
            <w:pPr>
              <w:spacing w:after="0"/>
            </w:pPr>
            <w:r>
              <w:rPr>
                <w:sz w:val="17"/>
              </w:rPr>
              <w:t>AWS EC2</w:t>
            </w:r>
          </w:p>
        </w:tc>
        <w:tc>
          <w:tcPr>
            <w:tcW w:type="dxa" w:w="2304"/>
            <w:tcMar>
              <w:top w:w="80" w:type="dxa"/>
              <w:start w:w="105" w:type="dxa"/>
              <w:bottom w:w="80" w:type="dxa"/>
              <w:end w:w="105" w:type="dxa"/>
            </w:tcMar>
            <w:vAlign w:val="center"/>
          </w:tcPr>
          <w:p>
            <w:pPr>
              <w:spacing w:after="0"/>
            </w:pPr>
            <w:r>
              <w:rPr>
                <w:sz w:val="17"/>
              </w:rPr>
              <w:t>16–22 engineer-weeks</w:t>
            </w:r>
          </w:p>
        </w:tc>
        <w:tc>
          <w:tcPr>
            <w:tcW w:type="dxa" w:w="4104"/>
            <w:tcMar>
              <w:top w:w="80" w:type="dxa"/>
              <w:start w:w="105" w:type="dxa"/>
              <w:bottom w:w="80" w:type="dxa"/>
              <w:end w:w="105" w:type="dxa"/>
            </w:tcMar>
            <w:vAlign w:val="center"/>
          </w:tcPr>
          <w:p>
            <w:pPr>
              <w:spacing w:after="0"/>
            </w:pPr>
            <w:r>
              <w:rPr>
                <w:sz w:val="17"/>
              </w:rPr>
              <w:t>Multi-region throttling and permissions</w:t>
            </w:r>
          </w:p>
        </w:tc>
      </w:tr>
      <w:tr>
        <w:trPr>
          <w:cantSplit w:val="true"/>
        </w:trPr>
        <w:tc>
          <w:tcPr>
            <w:tcW w:type="dxa" w:w="2952"/>
            <w:tcMar>
              <w:top w:w="80" w:type="dxa"/>
              <w:start w:w="105" w:type="dxa"/>
              <w:bottom w:w="80" w:type="dxa"/>
              <w:end w:w="105" w:type="dxa"/>
            </w:tcMar>
            <w:vAlign w:val="center"/>
          </w:tcPr>
          <w:p>
            <w:pPr>
              <w:spacing w:after="0"/>
            </w:pPr>
            <w:r>
              <w:rPr>
                <w:sz w:val="17"/>
              </w:rPr>
              <w:t>Azure VMs</w:t>
            </w:r>
          </w:p>
        </w:tc>
        <w:tc>
          <w:tcPr>
            <w:tcW w:type="dxa" w:w="2304"/>
            <w:tcMar>
              <w:top w:w="80" w:type="dxa"/>
              <w:start w:w="105" w:type="dxa"/>
              <w:bottom w:w="80" w:type="dxa"/>
              <w:end w:w="105" w:type="dxa"/>
            </w:tcMar>
            <w:vAlign w:val="center"/>
          </w:tcPr>
          <w:p>
            <w:pPr>
              <w:spacing w:after="0"/>
            </w:pPr>
            <w:r>
              <w:rPr>
                <w:sz w:val="17"/>
              </w:rPr>
              <w:t>18–24 engineer-weeks</w:t>
            </w:r>
          </w:p>
        </w:tc>
        <w:tc>
          <w:tcPr>
            <w:tcW w:type="dxa" w:w="4104"/>
            <w:tcMar>
              <w:top w:w="80" w:type="dxa"/>
              <w:start w:w="105" w:type="dxa"/>
              <w:bottom w:w="80" w:type="dxa"/>
              <w:end w:w="105" w:type="dxa"/>
            </w:tcMar>
            <w:vAlign w:val="center"/>
          </w:tcPr>
          <w:p>
            <w:pPr>
              <w:spacing w:after="0"/>
            </w:pPr>
            <w:r>
              <w:rPr>
                <w:sz w:val="17"/>
              </w:rPr>
              <w:t>Long-running operations and resource linkage</w:t>
            </w:r>
          </w:p>
        </w:tc>
      </w:tr>
      <w:tr>
        <w:trPr>
          <w:cantSplit w:val="true"/>
        </w:trPr>
        <w:tc>
          <w:tcPr>
            <w:tcW w:type="dxa" w:w="2952"/>
            <w:tcMar>
              <w:top w:w="80" w:type="dxa"/>
              <w:start w:w="105" w:type="dxa"/>
              <w:bottom w:w="80" w:type="dxa"/>
              <w:end w:w="105" w:type="dxa"/>
            </w:tcMar>
            <w:vAlign w:val="center"/>
          </w:tcPr>
          <w:p>
            <w:pPr>
              <w:spacing w:after="0"/>
            </w:pPr>
            <w:r>
              <w:rPr>
                <w:sz w:val="17"/>
              </w:rPr>
              <w:t>Qualification/release/docs</w:t>
            </w:r>
          </w:p>
        </w:tc>
        <w:tc>
          <w:tcPr>
            <w:tcW w:type="dxa" w:w="2304"/>
            <w:tcMar>
              <w:top w:w="80" w:type="dxa"/>
              <w:start w:w="105" w:type="dxa"/>
              <w:bottom w:w="80" w:type="dxa"/>
              <w:end w:w="105" w:type="dxa"/>
            </w:tcMar>
            <w:vAlign w:val="center"/>
          </w:tcPr>
          <w:p>
            <w:pPr>
              <w:spacing w:after="0"/>
            </w:pPr>
            <w:r>
              <w:rPr>
                <w:sz w:val="17"/>
              </w:rPr>
              <w:t>28–38 engineer-weeks</w:t>
            </w:r>
          </w:p>
        </w:tc>
        <w:tc>
          <w:tcPr>
            <w:tcW w:type="dxa" w:w="4104"/>
            <w:tcMar>
              <w:top w:w="80" w:type="dxa"/>
              <w:start w:w="105" w:type="dxa"/>
              <w:bottom w:w="80" w:type="dxa"/>
              <w:end w:w="105" w:type="dxa"/>
            </w:tcMar>
            <w:vAlign w:val="center"/>
          </w:tcPr>
          <w:p>
            <w:pPr>
              <w:spacing w:after="0"/>
            </w:pPr>
            <w:r>
              <w:rPr>
                <w:sz w:val="17"/>
              </w:rPr>
              <w:t>Defect discovery and compatibility matrix</w:t>
            </w:r>
          </w:p>
        </w:tc>
      </w:tr>
    </w:tbl>
    <w:p>
      <w:pPr>
        <w:spacing w:after="20"/>
      </w:pPr>
    </w:p>
    <w:p>
      <w:r>
        <w:t>Effort ranges are not additive calendar duration because work overlaps across specialists. They exclude future PRD scope and assume provider environments are available. A formal staffing plan and cost forecast should be produced after M1 architecture spikes and again after M4.</w:t>
      </w:r>
    </w:p>
    <w:p>
      <w:pPr>
        <w:pStyle w:val="Heading1"/>
        <w:keepNext/>
      </w:pPr>
      <w:r>
        <w:t>Appendix B — Definition of Program Done</w:t>
      </w:r>
    </w:p>
    <w:p>
      <w:pPr>
        <w:pStyle w:val="ListBullet"/>
      </w:pPr>
      <w:r>
        <w:t>All v0.1 scope is implemented or formally dispositioned</w:t>
      </w:r>
    </w:p>
    <w:p>
      <w:pPr>
        <w:pStyle w:val="ListBullet"/>
      </w:pPr>
      <w:r>
        <w:t>All milestone and program acceptance criteria have passing evidence</w:t>
      </w:r>
    </w:p>
    <w:p>
      <w:pPr>
        <w:pStyle w:val="ListBullet"/>
      </w:pPr>
      <w:r>
        <w:t>All supported providers pass a common adapter conformance suite and provider-specific qualification</w:t>
      </w:r>
    </w:p>
    <w:p>
      <w:pPr>
        <w:pStyle w:val="ListBullet"/>
      </w:pPr>
      <w:r>
        <w:t>Security, accessibility, performance, resilience, backup/restore, and compatibility gates pass</w:t>
      </w:r>
    </w:p>
    <w:p>
      <w:pPr>
        <w:pStyle w:val="ListBullet"/>
      </w:pPr>
      <w:r>
        <w:t>Signed release artifacts, SBOM, provenance, migrations, OpenAPI, and agent packages are reproducible</w:t>
      </w:r>
    </w:p>
    <w:p>
      <w:pPr>
        <w:pStyle w:val="ListBullet"/>
      </w:pPr>
      <w:r>
        <w:t>Administrators can install, connect providers, discover VMs, operate them, diagnose failures, and audit actions from validated documentation</w:t>
      </w:r>
    </w:p>
    <w:p>
      <w:pPr>
        <w:pStyle w:val="ListBullet"/>
      </w:pPr>
      <w:r>
        <w:t>Release approvals and post-v0.1 backlog are recorded</w:t>
      </w:r>
    </w:p>
    <w:p>
      <w:pPr>
        <w:pStyle w:val="Heading1"/>
        <w:keepNext/>
      </w:pPr>
      <w:r>
        <w:t>Appendix C — Document Status</w:t>
      </w:r>
    </w:p>
    <w:p>
      <w:r>
        <w:t>This document is a draft execution baseline governed by NUV-PRD-001, NUV-TADS-001, and NUV-DAPI-001. Estimates are planning ranges and must be reforecast with measured delivery data. Approval authorizes backlog refinement and Milestone 0–1 execution. Nuvrion remains a working brand pending formal trademark clearance.</w:t>
      </w:r>
    </w:p>
    <w:sectPr w:rsidR="00FC693F" w:rsidRPr="0006063C" w:rsidSect="00034616">
      <w:headerReference w:type="default" r:id="rId9"/>
      <w:footerReference w:type="default" r:id="rId10"/>
      <w:pgSz w:w="12240" w:h="15840"/>
      <w:pgMar w:top="1123" w:right="1238" w:bottom="1037"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NUV-IMP-001  •  Draft — For Review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NUVRION  |  IMPLEMENTATION PLAN &amp; MILESTONE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Nuvrion v0.1 — Implementation Plan &amp; Milestone Backlog</dc:title>
  <dc:subject>Execution plan and engineering backlog for Nuvrion v0.1</dc:subject>
  <dc:creator>Nuvrion Product &amp; Engineering</dc:creator>
  <cp:keywords>Nuvrion, implementation plan, backlog, milestones, VMware, AWS, Azure</cp:keywords>
  <dc:description>generated by python-docx</dc:description>
  <cp:lastModifiedBy/>
  <cp:revision>1</cp:revision>
  <dcterms:created xsi:type="dcterms:W3CDTF">2013-12-23T23:15:00Z</dcterms:created>
  <dcterms:modified xsi:type="dcterms:W3CDTF">2013-12-23T23:15:00Z</dcterms:modified>
  <cp:category/>
</cp:coreProperties>
</file>