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09E" w:rsidRDefault="00A51D41">
      <w:pPr>
        <w:spacing w:after="80"/>
        <w:jc w:val="center"/>
      </w:pPr>
      <w:r>
        <w:rPr>
          <w:b/>
          <w:bCs/>
          <w:sz w:val="30"/>
          <w:szCs w:val="30"/>
        </w:rPr>
        <w:t>LITERATURE REVIEW</w:t>
      </w:r>
    </w:p>
    <w:p w:rsidR="00A1009E" w:rsidRDefault="00A51D41">
      <w:pPr>
        <w:spacing w:after="480"/>
        <w:jc w:val="center"/>
      </w:pPr>
      <w:r>
        <w:rPr>
          <w:i/>
          <w:iCs/>
        </w:rPr>
        <w:t>Agentic AI for Automated Digital Marketing Campaign Generation, Scheduling, and Management</w:t>
      </w:r>
    </w:p>
    <w:p w:rsidR="00A1009E" w:rsidRDefault="00A51D41">
      <w:pPr>
        <w:pStyle w:val="Heading1"/>
        <w:spacing w:before="360" w:after="120"/>
      </w:pPr>
      <w:r>
        <w:rPr>
          <w:b/>
          <w:bCs/>
          <w:color w:val="2E5496"/>
          <w:sz w:val="28"/>
          <w:szCs w:val="28"/>
        </w:rPr>
        <w:t>1. Introduction</w:t>
      </w:r>
    </w:p>
    <w:p w:rsidR="00A1009E" w:rsidRDefault="00A51D41">
      <w:pPr>
        <w:spacing w:after="160" w:line="276" w:lineRule="auto"/>
        <w:jc w:val="both"/>
      </w:pPr>
      <w:r>
        <w:t xml:space="preserve">The emergence of large language model (LLM)-based agentic systems has opened a new frontier in artificial intelligence research, extending beyond passive text generation into active, tool-using, goal-directed </w:t>
      </w:r>
      <w:proofErr w:type="spellStart"/>
      <w:r>
        <w:t>behaviour</w:t>
      </w:r>
      <w:proofErr w:type="spellEnd"/>
      <w:r>
        <w:t xml:space="preserve">. Since 2022, frameworks such as </w:t>
      </w:r>
      <w:proofErr w:type="spellStart"/>
      <w:r>
        <w:t>AutoG</w:t>
      </w:r>
      <w:r>
        <w:t>en</w:t>
      </w:r>
      <w:proofErr w:type="spellEnd"/>
      <w:r>
        <w:t xml:space="preserve">, </w:t>
      </w:r>
      <w:proofErr w:type="spellStart"/>
      <w:r>
        <w:t>MetaGPT</w:t>
      </w:r>
      <w:proofErr w:type="spellEnd"/>
      <w:r>
        <w:t xml:space="preserve">, </w:t>
      </w:r>
      <w:proofErr w:type="spellStart"/>
      <w:r>
        <w:t>CrewAI</w:t>
      </w:r>
      <w:proofErr w:type="spellEnd"/>
      <w:r>
        <w:t xml:space="preserve">, and </w:t>
      </w:r>
      <w:proofErr w:type="spellStart"/>
      <w:r>
        <w:t>LangGraph</w:t>
      </w:r>
      <w:proofErr w:type="spellEnd"/>
      <w:r>
        <w:t xml:space="preserve"> have demonstrated that AI systems can decompose complex tasks, coordinate across multiple </w:t>
      </w:r>
      <w:proofErr w:type="spellStart"/>
      <w:r>
        <w:t>specialised</w:t>
      </w:r>
      <w:proofErr w:type="spellEnd"/>
      <w:r>
        <w:t xml:space="preserve"> sub-agents, and interact with external APIs in pursuit of defined objectives (Wang et al., 2024; Xi et al., 2023). The </w:t>
      </w:r>
      <w:r>
        <w:t xml:space="preserve">conceptual groundwork was laid by Brown et al. (2020), who demonstrated that large-scale language models could </w:t>
      </w:r>
      <w:proofErr w:type="spellStart"/>
      <w:r>
        <w:t>generalise</w:t>
      </w:r>
      <w:proofErr w:type="spellEnd"/>
      <w:r>
        <w:t xml:space="preserve"> to unseen tasks without fine-tuning — a prerequisite for the flexible, goal-directed </w:t>
      </w:r>
      <w:proofErr w:type="spellStart"/>
      <w:r>
        <w:t>behaviour</w:t>
      </w:r>
      <w:proofErr w:type="spellEnd"/>
      <w:r>
        <w:t xml:space="preserve"> that modern agent frameworks exploit. T</w:t>
      </w:r>
      <w:r>
        <w:t>his body of work has been primarily focused on coding, reasoning, and knowledge-retrieval tasks; creative domains, particularly digital marketing, remain comparatively underexplored (Davenport et al., 2020).</w:t>
      </w:r>
    </w:p>
    <w:p w:rsidR="00A1009E" w:rsidRDefault="00A51D41">
      <w:pPr>
        <w:spacing w:after="160" w:line="276" w:lineRule="auto"/>
        <w:jc w:val="both"/>
      </w:pPr>
      <w:r>
        <w:t>This review examines five relevant streams of re</w:t>
      </w:r>
      <w:r>
        <w:t>search: (1) LLM-based agent frameworks; (2) multi-agent orchestration patterns; (3) AI content generation; (4) social media automation tools; and (5) human-in-the-loop design principles. Together, these streams define the research landscape within which th</w:t>
      </w:r>
      <w:r>
        <w:t>is project is situated and identify the gaps that motivate its research questions.</w:t>
      </w:r>
    </w:p>
    <w:p w:rsidR="00A1009E" w:rsidRDefault="00A51D41">
      <w:pPr>
        <w:pStyle w:val="Heading1"/>
        <w:spacing w:before="360" w:after="120"/>
      </w:pPr>
      <w:r>
        <w:rPr>
          <w:b/>
          <w:bCs/>
          <w:color w:val="2E5496"/>
          <w:sz w:val="28"/>
          <w:szCs w:val="28"/>
        </w:rPr>
        <w:t>2. LLM-Based Agent Frameworks</w:t>
      </w:r>
    </w:p>
    <w:p w:rsidR="00A1009E" w:rsidRDefault="00A51D41">
      <w:pPr>
        <w:pStyle w:val="Heading2"/>
        <w:spacing w:before="240" w:after="80"/>
      </w:pPr>
      <w:r>
        <w:rPr>
          <w:b/>
          <w:bCs/>
          <w:color w:val="2E5496"/>
          <w:sz w:val="24"/>
          <w:szCs w:val="24"/>
        </w:rPr>
        <w:t>2.1 Foundational Paradigms</w:t>
      </w:r>
    </w:p>
    <w:p w:rsidR="00A1009E" w:rsidRDefault="00A51D41">
      <w:pPr>
        <w:spacing w:after="160" w:line="276" w:lineRule="auto"/>
        <w:jc w:val="both"/>
      </w:pPr>
      <w:r>
        <w:t xml:space="preserve">The conceptual foundations of LLM-based agentic </w:t>
      </w:r>
      <w:proofErr w:type="spellStart"/>
      <w:r>
        <w:t>behaviour</w:t>
      </w:r>
      <w:proofErr w:type="spellEnd"/>
      <w:r>
        <w:t xml:space="preserve"> were established through the observation that large langua</w:t>
      </w:r>
      <w:r>
        <w:t xml:space="preserve">ge models, when provided with structured prompting strategies, could be directed to plan, reason, and act across multi-step tasks. Chain-of-thought prompting, </w:t>
      </w:r>
      <w:proofErr w:type="spellStart"/>
      <w:r>
        <w:t>formalised</w:t>
      </w:r>
      <w:proofErr w:type="spellEnd"/>
      <w:r>
        <w:t xml:space="preserve"> by Wei et al. (2022), demonstrated that eliciting models to articulate intermediate re</w:t>
      </w:r>
      <w:r>
        <w:t xml:space="preserve">asoning steps substantially improved performance on complex tasks. Building on this, Yao et al. (2023) introduced the </w:t>
      </w:r>
      <w:proofErr w:type="spellStart"/>
      <w:r>
        <w:t>ReAct</w:t>
      </w:r>
      <w:proofErr w:type="spellEnd"/>
      <w:r>
        <w:t xml:space="preserve"> framework, which interleaves natural language reasoning with action execution in an iterative loop, establishing the architectural p</w:t>
      </w:r>
      <w:r>
        <w:t>attern that most modern frameworks have since adapted.</w:t>
      </w:r>
    </w:p>
    <w:p w:rsidR="00A1009E" w:rsidRDefault="00A51D41">
      <w:pPr>
        <w:pStyle w:val="Heading2"/>
        <w:spacing w:before="240" w:after="80"/>
      </w:pPr>
      <w:r>
        <w:rPr>
          <w:b/>
          <w:bCs/>
          <w:color w:val="2E5496"/>
          <w:sz w:val="24"/>
          <w:szCs w:val="24"/>
        </w:rPr>
        <w:t>2.2 Multi-Agent Frameworks</w:t>
      </w:r>
    </w:p>
    <w:p w:rsidR="00A1009E" w:rsidRDefault="00A51D41">
      <w:pPr>
        <w:spacing w:after="160" w:line="276" w:lineRule="auto"/>
        <w:jc w:val="both"/>
      </w:pPr>
      <w:r>
        <w:t xml:space="preserve">Subsequent work extended the single-agent paradigm into multi-agent systems. Wu et al. (2023) introduced </w:t>
      </w:r>
      <w:proofErr w:type="spellStart"/>
      <w:r>
        <w:t>AutoGen</w:t>
      </w:r>
      <w:proofErr w:type="spellEnd"/>
      <w:r>
        <w:t>, a framework enabling multiple LLM-powered agents to communic</w:t>
      </w:r>
      <w:r>
        <w:t xml:space="preserve">ate in structured conversation threads, with each agent capable of invoking tools, writing and executing code, or deferring to human input. Hong et al. (2024) extended this direction with </w:t>
      </w:r>
      <w:proofErr w:type="spellStart"/>
      <w:r>
        <w:t>MetaGPT</w:t>
      </w:r>
      <w:proofErr w:type="spellEnd"/>
      <w:r>
        <w:t>, which introduced a role-based multi-agent architecture mode</w:t>
      </w:r>
      <w:r>
        <w:t xml:space="preserve">lled on software engineering team structures, assigning distinct professional roles to individual agents and enforcing structured outputs at each stage. More recent frameworks shifted focus from research performance to practical usability: </w:t>
      </w:r>
      <w:proofErr w:type="spellStart"/>
      <w:r>
        <w:t>LangGraph</w:t>
      </w:r>
      <w:proofErr w:type="spellEnd"/>
      <w:r>
        <w:t xml:space="preserve"> </w:t>
      </w:r>
      <w:proofErr w:type="gramStart"/>
      <w:r>
        <w:t>models</w:t>
      </w:r>
      <w:proofErr w:type="gramEnd"/>
      <w:r>
        <w:t xml:space="preserve"> workflows as directed graphs with explicit state management at each node (Wang et al., 2024), while </w:t>
      </w:r>
      <w:proofErr w:type="spellStart"/>
      <w:r>
        <w:t>CrewAI</w:t>
      </w:r>
      <w:proofErr w:type="spellEnd"/>
      <w:r>
        <w:t xml:space="preserve"> allows developers to define agent roles and goals in natural language (Chase, 2023). The growing practitioner interest in these systems has been sur</w:t>
      </w:r>
      <w:r>
        <w:t>veyed by Dwivedi et al. (2023), who documented both the productivity potential and the persistent concerns around output consistency and factual reliability across generative AI applications.</w:t>
      </w:r>
    </w:p>
    <w:p w:rsidR="00A1009E" w:rsidRDefault="00A51D41">
      <w:pPr>
        <w:pStyle w:val="Heading2"/>
        <w:spacing w:before="240" w:after="80"/>
      </w:pPr>
      <w:r>
        <w:rPr>
          <w:b/>
          <w:bCs/>
          <w:color w:val="2E5496"/>
          <w:sz w:val="24"/>
          <w:szCs w:val="24"/>
        </w:rPr>
        <w:t>2.3 Framework Comparison</w:t>
      </w:r>
    </w:p>
    <w:p w:rsidR="00A1009E" w:rsidRDefault="00A51D41">
      <w:pPr>
        <w:spacing w:before="160" w:after="80"/>
        <w:jc w:val="center"/>
      </w:pPr>
      <w:r>
        <w:rPr>
          <w:i/>
          <w:iCs/>
        </w:rPr>
        <w:lastRenderedPageBreak/>
        <w:t>Table 1: Comparison of Key LLM Agent Fr</w:t>
      </w:r>
      <w:r>
        <w:rPr>
          <w:i/>
          <w:iCs/>
        </w:rPr>
        <w:t>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900"/>
        <w:gridCol w:w="1800"/>
        <w:gridCol w:w="3560"/>
      </w:tblGrid>
      <w:tr w:rsidR="00A1009E">
        <w:tblPrEx>
          <w:tblCellMar>
            <w:top w:w="0" w:type="dxa"/>
            <w:bottom w:w="0" w:type="dxa"/>
          </w:tblCellMar>
        </w:tblPrEx>
        <w:trPr>
          <w:tblHeader/>
        </w:trPr>
        <w:tc>
          <w:tcPr>
            <w:tcW w:w="14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Framework</w:t>
            </w:r>
          </w:p>
        </w:tc>
        <w:tc>
          <w:tcPr>
            <w:tcW w:w="7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Year</w:t>
            </w:r>
          </w:p>
        </w:tc>
        <w:tc>
          <w:tcPr>
            <w:tcW w:w="19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Architecture</w:t>
            </w:r>
          </w:p>
        </w:tc>
        <w:tc>
          <w:tcPr>
            <w:tcW w:w="18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Primary Domain</w:t>
            </w:r>
          </w:p>
        </w:tc>
        <w:tc>
          <w:tcPr>
            <w:tcW w:w="35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Key Innovation</w:t>
            </w:r>
          </w:p>
        </w:tc>
      </w:tr>
      <w:tr w:rsidR="00A1009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proofErr w:type="spellStart"/>
            <w:r>
              <w:rPr>
                <w:sz w:val="20"/>
                <w:szCs w:val="20"/>
              </w:rPr>
              <w:t>ReAct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2023</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Single-agent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Reasoning / QA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Interleaved reasoning and action execution</w:t>
            </w:r>
          </w:p>
        </w:tc>
      </w:tr>
      <w:tr w:rsidR="00A1009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proofErr w:type="spellStart"/>
            <w:r>
              <w:rPr>
                <w:sz w:val="20"/>
                <w:szCs w:val="20"/>
              </w:rPr>
              <w:t>AutoGen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2023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Multi-agent conversation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Coding / dialogue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Structured multi-agent message-passing</w:t>
            </w:r>
          </w:p>
        </w:tc>
      </w:tr>
      <w:tr w:rsidR="00A1009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proofErr w:type="spellStart"/>
            <w:r>
              <w:rPr>
                <w:sz w:val="20"/>
                <w:szCs w:val="20"/>
              </w:rPr>
              <w:t>MetaGPT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Role-based multi-agent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Software engineering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Professional role assignment with structured outputs</w:t>
            </w:r>
          </w:p>
        </w:tc>
      </w:tr>
      <w:tr w:rsidR="00A1009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proofErr w:type="spellStart"/>
            <w:r>
              <w:rPr>
                <w:sz w:val="20"/>
                <w:szCs w:val="20"/>
              </w:rPr>
              <w:t>LangGraph</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Graph-based (cyclic)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General purpose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Explicit state management; cyclic execution</w:t>
            </w:r>
          </w:p>
        </w:tc>
      </w:tr>
      <w:tr w:rsidR="00A1009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proofErr w:type="spellStart"/>
            <w:r>
              <w:rPr>
                <w:sz w:val="20"/>
                <w:szCs w:val="20"/>
              </w:rPr>
              <w:t>CrewAI</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Role-based abstraction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General purpose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Natural language role and goal definition</w:t>
            </w:r>
          </w:p>
        </w:tc>
      </w:tr>
    </w:tbl>
    <w:p w:rsidR="00A1009E" w:rsidRDefault="00A1009E">
      <w:pPr>
        <w:spacing w:after="80"/>
      </w:pPr>
    </w:p>
    <w:p w:rsidR="00A1009E" w:rsidRDefault="00A51D41">
      <w:pPr>
        <w:spacing w:after="160" w:line="276" w:lineRule="auto"/>
        <w:jc w:val="both"/>
      </w:pPr>
      <w:r>
        <w:t xml:space="preserve">Considered comparatively, the frameworks differ substantially in their suitability for a creative marketing application. </w:t>
      </w:r>
      <w:proofErr w:type="spellStart"/>
      <w:r>
        <w:t>AutoGen’s</w:t>
      </w:r>
      <w:proofErr w:type="spellEnd"/>
      <w:r>
        <w:t xml:space="preserve"> conversation-based architecture offers flexibility for decomposing open-ended tasks, but its lack of enforced output structur</w:t>
      </w:r>
      <w:r>
        <w:t xml:space="preserve">e makes it poorly suited to pipelines requiring consistent, </w:t>
      </w:r>
      <w:proofErr w:type="spellStart"/>
      <w:r>
        <w:t>parseable</w:t>
      </w:r>
      <w:proofErr w:type="spellEnd"/>
      <w:r>
        <w:t xml:space="preserve"> content (Wu et al., 2023). </w:t>
      </w:r>
      <w:proofErr w:type="spellStart"/>
      <w:r>
        <w:t>MetaGPT’s</w:t>
      </w:r>
      <w:proofErr w:type="spellEnd"/>
      <w:r>
        <w:t xml:space="preserve"> role-based architecture improves reliability through structured outputs; however, its role assignments — designed for software engineering — constrai</w:t>
      </w:r>
      <w:r>
        <w:t xml:space="preserve">n the creative flexibility that marketing demands (Hong et al., 2024). </w:t>
      </w:r>
      <w:proofErr w:type="spellStart"/>
      <w:r>
        <w:t>LangGraph’s</w:t>
      </w:r>
      <w:proofErr w:type="spellEnd"/>
      <w:r>
        <w:t xml:space="preserve"> explicit state management and cyclic execution make it well-suited to iterative campaign workflows, though at the cost of implementation complexity (Wang et al., 2024). Unli</w:t>
      </w:r>
      <w:r>
        <w:t xml:space="preserve">ke the other three frameworks, </w:t>
      </w:r>
      <w:proofErr w:type="spellStart"/>
      <w:r w:rsidRPr="00A51D41">
        <w:t>CrewAI</w:t>
      </w:r>
      <w:proofErr w:type="spellEnd"/>
      <w:r w:rsidRPr="00A51D41">
        <w:t xml:space="preserve"> </w:t>
      </w:r>
      <w:proofErr w:type="spellStart"/>
      <w:r w:rsidRPr="00A51D41">
        <w:t>prioritises</w:t>
      </w:r>
      <w:proofErr w:type="spellEnd"/>
      <w:r w:rsidRPr="00A51D41">
        <w:t xml:space="preserve"> developer accessibility through natural language role and goal definition. However, it has comparatively limited peer-reviewed validation, with most evidence coming from developer repositories (Chase, 2023). Critically, none of these frameworks has been benchmarked on creative or marketing tasks</w:t>
      </w:r>
      <w:r>
        <w:t>: all performance claims derive from coding or reasoning evaluations where correctness is binary — a fundamentally different quality standard from brand-aligned creative content.</w:t>
      </w:r>
      <w:bookmarkStart w:id="0" w:name="_GoBack"/>
      <w:bookmarkEnd w:id="0"/>
    </w:p>
    <w:p w:rsidR="00A1009E" w:rsidRDefault="00A51D41">
      <w:pPr>
        <w:pStyle w:val="Heading1"/>
        <w:spacing w:before="360" w:after="120"/>
      </w:pPr>
      <w:r>
        <w:rPr>
          <w:b/>
          <w:bCs/>
          <w:color w:val="2E5496"/>
          <w:sz w:val="28"/>
          <w:szCs w:val="28"/>
        </w:rPr>
        <w:t>3. Multi-</w:t>
      </w:r>
      <w:r>
        <w:rPr>
          <w:b/>
          <w:bCs/>
          <w:color w:val="2E5496"/>
          <w:sz w:val="28"/>
          <w:szCs w:val="28"/>
        </w:rPr>
        <w:t>Agent Orchestration Patterns</w:t>
      </w:r>
    </w:p>
    <w:p w:rsidR="00A1009E" w:rsidRDefault="00A51D41">
      <w:pPr>
        <w:pStyle w:val="Heading2"/>
        <w:spacing w:before="240" w:after="80"/>
      </w:pPr>
      <w:r>
        <w:rPr>
          <w:b/>
          <w:bCs/>
          <w:color w:val="2E5496"/>
          <w:sz w:val="24"/>
          <w:szCs w:val="24"/>
        </w:rPr>
        <w:t>3.1 Sequential Pipeline Architecture</w:t>
      </w:r>
    </w:p>
    <w:p w:rsidR="00A1009E" w:rsidRDefault="00A51D41">
      <w:pPr>
        <w:spacing w:after="160" w:line="276" w:lineRule="auto"/>
        <w:jc w:val="both"/>
      </w:pPr>
      <w:r>
        <w:t>Within the multi-agent systems literature, two primary orchestration patterns have emerged as dominant paradigms: sequential pipelines and hierarchical delegation. The sequential pipeline pa</w:t>
      </w:r>
      <w:r>
        <w:t xml:space="preserve">ttern, as </w:t>
      </w:r>
      <w:proofErr w:type="spellStart"/>
      <w:r>
        <w:t>theorised</w:t>
      </w:r>
      <w:proofErr w:type="spellEnd"/>
      <w:r>
        <w:t xml:space="preserve"> through frameworks such as </w:t>
      </w:r>
      <w:proofErr w:type="spellStart"/>
      <w:r>
        <w:t>ReAct</w:t>
      </w:r>
      <w:proofErr w:type="spellEnd"/>
      <w:r>
        <w:t xml:space="preserve"> (Yao et al., 2023) and implemented in systems like </w:t>
      </w:r>
      <w:proofErr w:type="spellStart"/>
      <w:r>
        <w:t>LangChain</w:t>
      </w:r>
      <w:proofErr w:type="spellEnd"/>
      <w:r>
        <w:t xml:space="preserve">, routes task execution through a linear series of </w:t>
      </w:r>
      <w:proofErr w:type="spellStart"/>
      <w:r>
        <w:t>specialised</w:t>
      </w:r>
      <w:proofErr w:type="spellEnd"/>
      <w:r>
        <w:t xml:space="preserve"> agents, where the output of each agent constitutes the input of the next. This p</w:t>
      </w:r>
      <w:r>
        <w:t xml:space="preserve">attern is predictable, auditable, and relatively straightforward to debug. Its central limitation is the propagation of upstream errors with no internal mechanism for correction. In creative workflows, this manifests as what this review terms </w:t>
      </w:r>
      <w:r>
        <w:rPr>
          <w:i/>
          <w:iCs/>
        </w:rPr>
        <w:t>semantic drif</w:t>
      </w:r>
      <w:r>
        <w:rPr>
          <w:i/>
          <w:iCs/>
        </w:rPr>
        <w:t>t</w:t>
      </w:r>
      <w:r>
        <w:t>: small misinterpretations of a brand brief by an upstream agent compound across the pipeline, producing content that is technically coherent but strategically misaligned — a failure mode absent from current linear frameworks.</w:t>
      </w:r>
    </w:p>
    <w:p w:rsidR="00A1009E" w:rsidRDefault="00A51D41">
      <w:pPr>
        <w:pStyle w:val="Heading2"/>
        <w:spacing w:before="240" w:after="80"/>
      </w:pPr>
      <w:r>
        <w:rPr>
          <w:b/>
          <w:bCs/>
          <w:color w:val="2E5496"/>
          <w:sz w:val="24"/>
          <w:szCs w:val="24"/>
        </w:rPr>
        <w:t xml:space="preserve">3.2 Hierarchical Delegation </w:t>
      </w:r>
      <w:r>
        <w:rPr>
          <w:b/>
          <w:bCs/>
          <w:color w:val="2E5496"/>
          <w:sz w:val="24"/>
          <w:szCs w:val="24"/>
        </w:rPr>
        <w:t>Architecture</w:t>
      </w:r>
    </w:p>
    <w:p w:rsidR="00A1009E" w:rsidRDefault="00A51D41">
      <w:pPr>
        <w:spacing w:after="160" w:line="276" w:lineRule="auto"/>
        <w:jc w:val="both"/>
      </w:pPr>
      <w:r>
        <w:t xml:space="preserve">Hierarchical delegation introduces an orchestrating agent that distributes sub-tasks to specialist agents and </w:t>
      </w:r>
      <w:proofErr w:type="spellStart"/>
      <w:r>
        <w:t>synthesises</w:t>
      </w:r>
      <w:proofErr w:type="spellEnd"/>
      <w:r>
        <w:t xml:space="preserve"> their outputs. While this architecture offers significant flexibility, </w:t>
      </w:r>
      <w:r>
        <w:t xml:space="preserve">it introduces what this review terms </w:t>
      </w:r>
      <w:r>
        <w:rPr>
          <w:i/>
          <w:iCs/>
        </w:rPr>
        <w:t xml:space="preserve">orchestrator </w:t>
      </w:r>
      <w:r>
        <w:rPr>
          <w:i/>
          <w:iCs/>
        </w:rPr>
        <w:t>overhead</w:t>
      </w:r>
      <w:r>
        <w:t xml:space="preserve">: the coordinator agent acts as both a single point of failure and a computational bottleneck, with every delegation and synthesis step adding to total generation latency. </w:t>
      </w:r>
      <w:r>
        <w:lastRenderedPageBreak/>
        <w:t xml:space="preserve">Frameworks like </w:t>
      </w:r>
      <w:proofErr w:type="spellStart"/>
      <w:r>
        <w:t>LangGraph</w:t>
      </w:r>
      <w:proofErr w:type="spellEnd"/>
      <w:r>
        <w:t xml:space="preserve"> attempt to mitigate this through a shared global s</w:t>
      </w:r>
      <w:r>
        <w:t xml:space="preserve">tate object accessible to all agents, reducing redundant data passing and improving consistency across long-running campaigns (Wang et al., 2024). Both </w:t>
      </w:r>
      <w:proofErr w:type="spellStart"/>
      <w:r>
        <w:t>AutoGen</w:t>
      </w:r>
      <w:proofErr w:type="spellEnd"/>
      <w:r>
        <w:t xml:space="preserve"> and </w:t>
      </w:r>
      <w:proofErr w:type="spellStart"/>
      <w:r>
        <w:t>MetaGPT</w:t>
      </w:r>
      <w:proofErr w:type="spellEnd"/>
      <w:r>
        <w:t xml:space="preserve"> implement variants of this hierarchical approach (Wu et al., 2023; Hong et al., 2024</w:t>
      </w:r>
      <w:r>
        <w:t>).</w:t>
      </w:r>
    </w:p>
    <w:p w:rsidR="00A1009E" w:rsidRDefault="00A51D41">
      <w:pPr>
        <w:pStyle w:val="Heading2"/>
        <w:spacing w:before="240" w:after="80"/>
      </w:pPr>
      <w:r>
        <w:rPr>
          <w:b/>
          <w:bCs/>
          <w:color w:val="2E5496"/>
          <w:sz w:val="24"/>
          <w:szCs w:val="24"/>
        </w:rPr>
        <w:t>3.3 Empirical Evidence and Gaps</w:t>
      </w:r>
    </w:p>
    <w:p w:rsidR="00A1009E" w:rsidRDefault="00A51D41">
      <w:pPr>
        <w:spacing w:after="160" w:line="276" w:lineRule="auto"/>
        <w:jc w:val="both"/>
      </w:pPr>
      <w:r>
        <w:t xml:space="preserve">Empirical evidence on the relative performance of these patterns is limited and domain-specific. Existing benchmarks — including </w:t>
      </w:r>
      <w:proofErr w:type="spellStart"/>
      <w:r>
        <w:t>HumanEval</w:t>
      </w:r>
      <w:proofErr w:type="spellEnd"/>
      <w:r>
        <w:t>, MBPP, and the coding evaluations reported by Wu et al. (2023) and Hong et al. (20</w:t>
      </w:r>
      <w:r>
        <w:t xml:space="preserve">24) — assess performance on objectively verifiable tasks. Zheng et al. (2023) proposed the LLM-as-a-judge paradigm as a step towards open-ended quality assessment, demonstrating that model-based evaluation can achieve high agreement with human preferences </w:t>
      </w:r>
      <w:r>
        <w:t xml:space="preserve">on conversational tasks. Traditional metrics such as BLEU or ROUGE are insufficient for evaluating creative marketing content where brand alignment matters more than lexical similarity. This study therefore </w:t>
      </w:r>
      <w:proofErr w:type="spellStart"/>
      <w:r>
        <w:t>prioritises</w:t>
      </w:r>
      <w:proofErr w:type="spellEnd"/>
      <w:r>
        <w:t xml:space="preserve"> expert human evaluation, </w:t>
      </w:r>
      <w:proofErr w:type="spellStart"/>
      <w:r>
        <w:t>utilising</w:t>
      </w:r>
      <w:proofErr w:type="spellEnd"/>
      <w:r>
        <w:t xml:space="preserve"> Co</w:t>
      </w:r>
      <w:r>
        <w:t>hen’s kappa (Cohen, 1960) to ensure inter-rater reliability across subjective assessments of aesthetic and strategic quality.</w:t>
      </w:r>
    </w:p>
    <w:p w:rsidR="00A1009E" w:rsidRDefault="00A51D41">
      <w:pPr>
        <w:pStyle w:val="Heading1"/>
        <w:spacing w:before="360" w:after="120"/>
      </w:pPr>
      <w:r>
        <w:rPr>
          <w:b/>
          <w:bCs/>
          <w:color w:val="2E5496"/>
          <w:sz w:val="28"/>
          <w:szCs w:val="28"/>
        </w:rPr>
        <w:t>4. AI Content Generation: Text and Images</w:t>
      </w:r>
    </w:p>
    <w:p w:rsidR="00A1009E" w:rsidRDefault="00A51D41">
      <w:pPr>
        <w:pStyle w:val="Heading2"/>
        <w:spacing w:before="240" w:after="80"/>
      </w:pPr>
      <w:r>
        <w:rPr>
          <w:b/>
          <w:bCs/>
          <w:color w:val="2E5496"/>
          <w:sz w:val="24"/>
          <w:szCs w:val="24"/>
        </w:rPr>
        <w:t>4.1 Text Generation</w:t>
      </w:r>
    </w:p>
    <w:p w:rsidR="00A1009E" w:rsidRDefault="00A51D41">
      <w:pPr>
        <w:spacing w:after="160" w:line="276" w:lineRule="auto"/>
        <w:jc w:val="both"/>
      </w:pPr>
      <w:r>
        <w:t>Current large language models are capable marketing writers in a narrow sense: they can produce captions, product descriptions, and campaign copy at speed, with GPT-4 documenting strong performance across professional writing tasks (</w:t>
      </w:r>
      <w:proofErr w:type="spellStart"/>
      <w:r>
        <w:t>OpenAI</w:t>
      </w:r>
      <w:proofErr w:type="spellEnd"/>
      <w:r>
        <w:t>, 2023). Ouyang e</w:t>
      </w:r>
      <w:r>
        <w:t xml:space="preserve">t al. (2022) demonstrated that fine-tuning on human preference data through reinforcement learning from human feedback substantially improved instruction-following and alignment with user intent — an alignment that matters in marketing, where adherence to </w:t>
      </w:r>
      <w:r>
        <w:t>a specific brand tone is non-negotiable. The persistent challenge is prompt sensitivity: small changes to a prompt can shift outputs substantially, creating real problems when brand consistency is the objective (Wang et al., 2024).</w:t>
      </w:r>
    </w:p>
    <w:p w:rsidR="00A1009E" w:rsidRDefault="00A51D41">
      <w:pPr>
        <w:pStyle w:val="Heading2"/>
        <w:spacing w:before="240" w:after="80"/>
      </w:pPr>
      <w:r>
        <w:rPr>
          <w:b/>
          <w:bCs/>
          <w:color w:val="2E5496"/>
          <w:sz w:val="24"/>
          <w:szCs w:val="24"/>
        </w:rPr>
        <w:t>4.2 Image Generation</w:t>
      </w:r>
    </w:p>
    <w:p w:rsidR="00A1009E" w:rsidRDefault="00A51D41">
      <w:pPr>
        <w:spacing w:after="160" w:line="276" w:lineRule="auto"/>
        <w:jc w:val="both"/>
      </w:pPr>
      <w:r>
        <w:t>The</w:t>
      </w:r>
      <w:r>
        <w:t xml:space="preserve"> development of latent diffusion models has dramatically improved the quality and accessibility of AI-generated visual content. </w:t>
      </w:r>
      <w:proofErr w:type="spellStart"/>
      <w:r>
        <w:t>Rombach</w:t>
      </w:r>
      <w:proofErr w:type="spellEnd"/>
      <w:r>
        <w:t xml:space="preserve"> et al. (2022) introduced the architecture underlying Stable Diffusion, achieving high-resolution image synthesis at subs</w:t>
      </w:r>
      <w:r>
        <w:t>tantially reduced computational cost. Subsequent developments, including DALL-E 3 (</w:t>
      </w:r>
      <w:proofErr w:type="spellStart"/>
      <w:r>
        <w:t>OpenAI</w:t>
      </w:r>
      <w:proofErr w:type="spellEnd"/>
      <w:r>
        <w:t xml:space="preserve">, 2023), have further improved prompt adherence, compositional coherence, and text rendering within generated images. Despite these advances, brand consistency across </w:t>
      </w:r>
      <w:r>
        <w:t>generated assets remains a largely unsolved problem in the literature (</w:t>
      </w:r>
      <w:proofErr w:type="spellStart"/>
      <w:r>
        <w:t>Rombach</w:t>
      </w:r>
      <w:proofErr w:type="spellEnd"/>
      <w:r>
        <w:t xml:space="preserve"> et al., 2022; Wang et al., 2024): text prompts alone cannot guarantee adherence to a specific </w:t>
      </w:r>
      <w:proofErr w:type="spellStart"/>
      <w:r>
        <w:t>colour</w:t>
      </w:r>
      <w:proofErr w:type="spellEnd"/>
      <w:r>
        <w:t xml:space="preserve"> palette or product geometry, which motivates the use of reference image cond</w:t>
      </w:r>
      <w:r>
        <w:t>itioning in the present system.</w:t>
      </w:r>
    </w:p>
    <w:p w:rsidR="00A1009E" w:rsidRDefault="00A51D41">
      <w:pPr>
        <w:pStyle w:val="Heading1"/>
        <w:spacing w:before="360" w:after="120"/>
      </w:pPr>
      <w:r>
        <w:rPr>
          <w:b/>
          <w:bCs/>
          <w:color w:val="2E5496"/>
          <w:sz w:val="28"/>
          <w:szCs w:val="28"/>
        </w:rPr>
        <w:t>5. Social Media Automation Tools: The Current Landscape</w:t>
      </w:r>
    </w:p>
    <w:p w:rsidR="00A1009E" w:rsidRDefault="00A51D41">
      <w:pPr>
        <w:pStyle w:val="Heading2"/>
        <w:spacing w:before="240" w:after="80"/>
      </w:pPr>
      <w:r>
        <w:rPr>
          <w:b/>
          <w:bCs/>
          <w:color w:val="2E5496"/>
          <w:sz w:val="24"/>
          <w:szCs w:val="24"/>
        </w:rPr>
        <w:t>5.1 Two Incomplete Categories</w:t>
      </w:r>
    </w:p>
    <w:p w:rsidR="00A1009E" w:rsidRDefault="00A51D41">
      <w:pPr>
        <w:spacing w:after="160" w:line="276" w:lineRule="auto"/>
        <w:jc w:val="both"/>
      </w:pPr>
      <w:r>
        <w:t>The social media management market is commercially mature but functionally incomplete (Davenport et al., 2020). Existing tools divide into</w:t>
      </w:r>
      <w:r>
        <w:t xml:space="preserve"> two categories, and neither addresses the full workflow. The most prominent scheduling platforms — Hootsuite, Buffer, and Later — handle distribution efficiently but assume content already exists, incorporating no AI-driven content generation (Hootsuite, </w:t>
      </w:r>
      <w:r>
        <w:t xml:space="preserve">2024; Buffer, 2024; Later, 2024). AI copywriting tools, including Jasper and Copy.ai, address creation but not </w:t>
      </w:r>
      <w:r>
        <w:lastRenderedPageBreak/>
        <w:t>distribution: they generate individual posts on demand without integrating with publishing infrastructure or producing coherent multi-day campaig</w:t>
      </w:r>
      <w:r>
        <w:t>n plans (Jasper, 2024; Copy.ai, 2024). Predis.ai combines basic AI generation with scheduling but operates as a monolithic system with no orchestration layer and no structured human review workflow (Predis.ai, 2024).</w:t>
      </w:r>
    </w:p>
    <w:p w:rsidR="00A1009E" w:rsidRDefault="00A51D41">
      <w:pPr>
        <w:pStyle w:val="Heading2"/>
        <w:spacing w:before="240" w:after="80"/>
      </w:pPr>
      <w:r>
        <w:rPr>
          <w:b/>
          <w:bCs/>
          <w:color w:val="2E5496"/>
          <w:sz w:val="24"/>
          <w:szCs w:val="24"/>
        </w:rPr>
        <w:t>5.2 Capability Gap Analysis</w:t>
      </w:r>
    </w:p>
    <w:p w:rsidR="00A1009E" w:rsidRDefault="00A51D41">
      <w:pPr>
        <w:spacing w:before="160" w:after="80"/>
        <w:jc w:val="center"/>
      </w:pPr>
      <w:r>
        <w:rPr>
          <w:i/>
          <w:iCs/>
        </w:rPr>
        <w:t>Table 2: Capability Comparison of Social Media Automation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1941"/>
        <w:gridCol w:w="1195"/>
        <w:gridCol w:w="1285"/>
        <w:gridCol w:w="1211"/>
        <w:gridCol w:w="1794"/>
      </w:tblGrid>
      <w:tr w:rsidR="00A1009E">
        <w:tblPrEx>
          <w:tblCellMar>
            <w:top w:w="0" w:type="dxa"/>
            <w:bottom w:w="0" w:type="dxa"/>
          </w:tblCellMar>
        </w:tblPrEx>
        <w:trPr>
          <w:tblHeader/>
        </w:trPr>
        <w:tc>
          <w:tcPr>
            <w:tcW w:w="19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Tool</w:t>
            </w:r>
          </w:p>
        </w:tc>
        <w:tc>
          <w:tcPr>
            <w:tcW w:w="19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Category</w:t>
            </w:r>
          </w:p>
        </w:tc>
        <w:tc>
          <w:tcPr>
            <w:tcW w:w="12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AI Content?</w:t>
            </w:r>
          </w:p>
        </w:tc>
        <w:tc>
          <w:tcPr>
            <w:tcW w:w="12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Scheduling?</w:t>
            </w:r>
          </w:p>
        </w:tc>
        <w:tc>
          <w:tcPr>
            <w:tcW w:w="122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HITL?</w:t>
            </w:r>
          </w:p>
        </w:tc>
        <w:tc>
          <w:tcPr>
            <w:tcW w:w="182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1009E" w:rsidRDefault="00A51D41">
            <w:pPr>
              <w:jc w:val="center"/>
            </w:pPr>
            <w:r>
              <w:rPr>
                <w:b/>
                <w:bCs/>
                <w:color w:val="FFFFFF"/>
                <w:sz w:val="20"/>
                <w:szCs w:val="20"/>
              </w:rPr>
              <w:t>Agent-Based?</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Hootsuite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Scheduling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Yes</w:t>
            </w:r>
          </w:p>
        </w:tc>
        <w:tc>
          <w:tcPr>
            <w:tcW w:w="1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Buffer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Scheduling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Yes</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Later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Scheduling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Yes</w:t>
            </w:r>
          </w:p>
        </w:tc>
        <w:tc>
          <w:tcPr>
            <w:tcW w:w="1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Jasper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AI Copywriting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Limited</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Copy.ai</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AI Copywriting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c>
          <w:tcPr>
            <w:tcW w:w="1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Limited</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Predis.ai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Hybrid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Limited</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009E" w:rsidRDefault="00A51D41">
            <w:r>
              <w:rPr>
                <w:sz w:val="20"/>
                <w:szCs w:val="20"/>
              </w:rPr>
              <w:t>No</w:t>
            </w:r>
          </w:p>
        </w:tc>
      </w:tr>
      <w:tr w:rsidR="00A1009E">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Present System</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Integrated agentic</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Yes</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Yes</w:t>
            </w:r>
          </w:p>
        </w:tc>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009E" w:rsidRDefault="00A51D41">
            <w:r>
              <w:rPr>
                <w:b/>
                <w:bCs/>
                <w:sz w:val="20"/>
                <w:szCs w:val="20"/>
              </w:rPr>
              <w:t>Yes</w:t>
            </w:r>
          </w:p>
        </w:tc>
      </w:tr>
    </w:tbl>
    <w:p w:rsidR="00A1009E" w:rsidRDefault="00A1009E">
      <w:pPr>
        <w:spacing w:after="80"/>
      </w:pPr>
    </w:p>
    <w:p w:rsidR="00A1009E" w:rsidRDefault="00A51D41">
      <w:pPr>
        <w:spacing w:after="160" w:line="276" w:lineRule="auto"/>
        <w:jc w:val="both"/>
      </w:pPr>
      <w:r>
        <w:t>As Table 2 illustrates, no current commercial tool combines autonomous content generation, scheduling, and structured human review within a single agentic workflow. This gap reflects not merely a product limitation but the absence of the underlying agentic</w:t>
      </w:r>
      <w:r>
        <w:t xml:space="preserve"> architecture that would make such integration possible (Davenport et al., 2020; Wang et al., 2024).</w:t>
      </w:r>
    </w:p>
    <w:p w:rsidR="00A1009E" w:rsidRDefault="00A51D41">
      <w:pPr>
        <w:pStyle w:val="Heading1"/>
        <w:spacing w:before="360" w:after="120"/>
      </w:pPr>
      <w:r>
        <w:rPr>
          <w:b/>
          <w:bCs/>
          <w:color w:val="2E5496"/>
          <w:sz w:val="28"/>
          <w:szCs w:val="28"/>
        </w:rPr>
        <w:t>6. Human-in-the-Loop AI Systems</w:t>
      </w:r>
    </w:p>
    <w:p w:rsidR="00A1009E" w:rsidRDefault="00A51D41">
      <w:pPr>
        <w:pStyle w:val="Heading2"/>
        <w:spacing w:before="240" w:after="80"/>
      </w:pPr>
      <w:r>
        <w:rPr>
          <w:b/>
          <w:bCs/>
          <w:color w:val="2E5496"/>
          <w:sz w:val="24"/>
          <w:szCs w:val="24"/>
        </w:rPr>
        <w:t>6.1 Why Human Feedback Matters</w:t>
      </w:r>
    </w:p>
    <w:p w:rsidR="00A1009E" w:rsidRDefault="00A51D41">
      <w:pPr>
        <w:spacing w:after="160" w:line="276" w:lineRule="auto"/>
        <w:jc w:val="both"/>
      </w:pPr>
      <w:proofErr w:type="spellStart"/>
      <w:r>
        <w:t>Amershi</w:t>
      </w:r>
      <w:proofErr w:type="spellEnd"/>
      <w:r>
        <w:t xml:space="preserve"> et al. (2019) identified eighteen design principles for effective human-AI collabora</w:t>
      </w:r>
      <w:r>
        <w:t>tion, central to which is the idea that AI systems should make uncertainty visible and support correction efficiently. The design of the review interface in this project — with explicit approve, edit, and regenerate options per post — directly reflects the</w:t>
      </w:r>
      <w:r>
        <w:t>se principles.</w:t>
      </w:r>
    </w:p>
    <w:p w:rsidR="00A1009E" w:rsidRDefault="00A51D41">
      <w:pPr>
        <w:pStyle w:val="Heading2"/>
        <w:spacing w:before="240" w:after="80"/>
      </w:pPr>
      <w:r>
        <w:rPr>
          <w:b/>
          <w:bCs/>
          <w:color w:val="2E5496"/>
          <w:sz w:val="24"/>
          <w:szCs w:val="24"/>
        </w:rPr>
        <w:t>6.2 Learning from Feedback</w:t>
      </w:r>
    </w:p>
    <w:p w:rsidR="00A1009E" w:rsidRDefault="00A51D41">
      <w:pPr>
        <w:spacing w:after="160" w:line="276" w:lineRule="auto"/>
        <w:jc w:val="both"/>
      </w:pPr>
      <w:r>
        <w:t xml:space="preserve">Ouyang et al. (2022) demonstrated that human preferences captured through reinforcement learning from human feedback can be used to fine-tune model </w:t>
      </w:r>
      <w:proofErr w:type="spellStart"/>
      <w:r>
        <w:t>behaviour</w:t>
      </w:r>
      <w:proofErr w:type="spellEnd"/>
      <w:r>
        <w:t>. The present system logs every user intervention — appro</w:t>
      </w:r>
      <w:r>
        <w:t xml:space="preserve">vals, edits, and regeneration requests — capturing preference signals that could support downstream improvement and providing evidence of where autonomous generation consistently falls short. Shinn et al. (2023) showed that agents equipped with structured </w:t>
      </w:r>
      <w:r>
        <w:t>self-reflection mechanisms consistently outperform those without them, reinforcing the methodological rationale for integrating human review as a first-class system component.</w:t>
      </w:r>
    </w:p>
    <w:p w:rsidR="00A1009E" w:rsidRDefault="00A51D41">
      <w:pPr>
        <w:pStyle w:val="Heading1"/>
        <w:spacing w:before="360" w:after="120"/>
      </w:pPr>
      <w:r>
        <w:rPr>
          <w:b/>
          <w:bCs/>
          <w:color w:val="2E5496"/>
          <w:sz w:val="28"/>
          <w:szCs w:val="28"/>
        </w:rPr>
        <w:t>7. Identifying the Research Gap</w:t>
      </w:r>
    </w:p>
    <w:p w:rsidR="00A1009E" w:rsidRDefault="00A51D41">
      <w:pPr>
        <w:spacing w:after="160" w:line="276" w:lineRule="auto"/>
        <w:jc w:val="both"/>
      </w:pPr>
      <w:r>
        <w:t>The literature reviewed across the preceding sec</w:t>
      </w:r>
      <w:r>
        <w:t xml:space="preserve">tions reveals a coherent and significant gap in current knowledge. Research on multi-agent LLM systems has progressed rapidly, with multiple frameworks proposing and validating different orchestration architectures. However, this work has been almost </w:t>
      </w:r>
      <w:r>
        <w:lastRenderedPageBreak/>
        <w:t>exclu</w:t>
      </w:r>
      <w:r>
        <w:t>sively concentrated on coding, reasoning, and knowledge tasks — domains where output quality can be assessed through objective metrics such as code execution success or mathematical correctness. The creative domain of digital marketing, where quality is in</w:t>
      </w:r>
      <w:r>
        <w:t>herently subjective and requires assessment along dimensions such as brand consistency, strategic coherence, and aesthetic appropriateness, has received no comparable empirical attention (Davenport et al., 2020; Xi et al., 2023).</w:t>
      </w:r>
    </w:p>
    <w:p w:rsidR="00A1009E" w:rsidRDefault="00A51D41">
      <w:pPr>
        <w:spacing w:after="160" w:line="276" w:lineRule="auto"/>
        <w:jc w:val="both"/>
      </w:pPr>
      <w:r>
        <w:t xml:space="preserve">A second, more specific gap concerns the failure modes identified in Sections 3.1 and 3.2. The phenomena this review terms </w:t>
      </w:r>
      <w:r>
        <w:rPr>
          <w:i/>
          <w:iCs/>
        </w:rPr>
        <w:t>semantic drift</w:t>
      </w:r>
      <w:r>
        <w:t xml:space="preserve"> and </w:t>
      </w:r>
      <w:r>
        <w:rPr>
          <w:i/>
          <w:iCs/>
        </w:rPr>
        <w:t>orchestrator overhead</w:t>
      </w:r>
      <w:r>
        <w:t xml:space="preserve"> represent theoretically distinct risks that have not been empirically measured or compared w</w:t>
      </w:r>
      <w:r>
        <w:t xml:space="preserve">ithin any creative application domain. Existing benchmarks offer no basis for predicting which orchestration pattern will perform better when quality is subjective, brand-dependent, and evaluated by human reviewers rather than automated scoring functions. </w:t>
      </w:r>
      <w:r>
        <w:t>This absence of evidence is precisely the gap this project addresses.</w:t>
      </w:r>
    </w:p>
    <w:p w:rsidR="00A1009E" w:rsidRDefault="00A51D41">
      <w:pPr>
        <w:pStyle w:val="Heading1"/>
        <w:spacing w:before="360" w:after="120"/>
      </w:pPr>
      <w:r>
        <w:rPr>
          <w:b/>
          <w:bCs/>
          <w:color w:val="2E5496"/>
          <w:sz w:val="28"/>
          <w:szCs w:val="28"/>
        </w:rPr>
        <w:t>8. Conclusion</w:t>
      </w:r>
    </w:p>
    <w:p w:rsidR="00795EB3" w:rsidRDefault="00795EB3" w:rsidP="00795EB3">
      <w:pPr>
        <w:spacing w:line="276" w:lineRule="auto"/>
      </w:pPr>
      <w:r w:rsidRPr="00795EB3">
        <w:t>This literature review has mapped five key bodies of literature relevant to agentic AI in digital marketing. While individual technologies and frameworks are advancing rapidly, their integration into a cohesive, brand-aware, multi-agent system for creative campaign management remains unexplored. By empirically comparing orchestration patterns and evaluating structured human-in-the-loop mechanisms in a real marketing context, this project aims to address a clear and timely gap in both AI systems research and marketing automation practice.</w:t>
      </w:r>
    </w:p>
    <w:p w:rsidR="00A1009E" w:rsidRDefault="00A51D41">
      <w:pPr>
        <w:pStyle w:val="Heading1"/>
        <w:spacing w:before="360" w:after="120"/>
      </w:pPr>
      <w:r>
        <w:rPr>
          <w:b/>
          <w:bCs/>
          <w:color w:val="2E5496"/>
          <w:sz w:val="28"/>
          <w:szCs w:val="28"/>
        </w:rPr>
        <w:t>References</w:t>
      </w:r>
    </w:p>
    <w:p w:rsidR="00A1009E" w:rsidRDefault="00A51D41">
      <w:pPr>
        <w:spacing w:after="140" w:line="276" w:lineRule="auto"/>
        <w:ind w:left="720" w:hanging="720"/>
        <w:jc w:val="both"/>
      </w:pPr>
      <w:proofErr w:type="spellStart"/>
      <w:r>
        <w:t>Amershi</w:t>
      </w:r>
      <w:proofErr w:type="spellEnd"/>
      <w:r>
        <w:t xml:space="preserve">, S., Weld, D., </w:t>
      </w:r>
      <w:proofErr w:type="spellStart"/>
      <w:r>
        <w:t>Vorvoreanu</w:t>
      </w:r>
      <w:proofErr w:type="spellEnd"/>
      <w:r>
        <w:t xml:space="preserve">, M., </w:t>
      </w:r>
      <w:proofErr w:type="spellStart"/>
      <w:r>
        <w:t>Fourney</w:t>
      </w:r>
      <w:proofErr w:type="spellEnd"/>
      <w:r>
        <w:t xml:space="preserve">, A., </w:t>
      </w:r>
      <w:proofErr w:type="spellStart"/>
      <w:r>
        <w:t>Nushi</w:t>
      </w:r>
      <w:proofErr w:type="spellEnd"/>
      <w:r>
        <w:t xml:space="preserve">, B., </w:t>
      </w:r>
      <w:proofErr w:type="spellStart"/>
      <w:r>
        <w:t>Collisson</w:t>
      </w:r>
      <w:proofErr w:type="spellEnd"/>
      <w:r>
        <w:t xml:space="preserve">, P., Suh, J., Iqbal, S., Bennett, P. N., </w:t>
      </w:r>
      <w:proofErr w:type="spellStart"/>
      <w:r>
        <w:t>Inkpen</w:t>
      </w:r>
      <w:proofErr w:type="spellEnd"/>
      <w:r>
        <w:t xml:space="preserve">, K., </w:t>
      </w:r>
      <w:proofErr w:type="spellStart"/>
      <w:r>
        <w:t>Teevan</w:t>
      </w:r>
      <w:proofErr w:type="spellEnd"/>
      <w:r>
        <w:t xml:space="preserve">, J., </w:t>
      </w:r>
      <w:proofErr w:type="spellStart"/>
      <w:r>
        <w:t>Kikin</w:t>
      </w:r>
      <w:proofErr w:type="spellEnd"/>
      <w:r>
        <w:t xml:space="preserve">-Gil, R. and Horvitz, E. (2019) ‘Guidelines for human-AI interaction’, in Proceedings of the 2019 CHI Conference </w:t>
      </w:r>
      <w:r>
        <w:t>on Human Factors in Computing Systems. Glasgow, UK, 4–9 May. New York: ACM, pp. 1–13.</w:t>
      </w:r>
    </w:p>
    <w:p w:rsidR="00A1009E" w:rsidRDefault="00A51D41">
      <w:pPr>
        <w:spacing w:after="140" w:line="276" w:lineRule="auto"/>
        <w:ind w:left="720" w:hanging="720"/>
        <w:jc w:val="both"/>
      </w:pPr>
      <w:r>
        <w:t xml:space="preserve">Brown, T., Mann, B., Ryder, N., Subbiah, M., Kaplan, J., </w:t>
      </w:r>
      <w:proofErr w:type="spellStart"/>
      <w:r>
        <w:t>Dhariwal</w:t>
      </w:r>
      <w:proofErr w:type="spellEnd"/>
      <w:r>
        <w:t xml:space="preserve">, P., </w:t>
      </w:r>
      <w:proofErr w:type="spellStart"/>
      <w:r>
        <w:t>Neelakantan</w:t>
      </w:r>
      <w:proofErr w:type="spellEnd"/>
      <w:r>
        <w:t xml:space="preserve">, A., </w:t>
      </w:r>
      <w:proofErr w:type="spellStart"/>
      <w:r>
        <w:t>Shyam</w:t>
      </w:r>
      <w:proofErr w:type="spellEnd"/>
      <w:r>
        <w:t xml:space="preserve">, P., Sastry, G., </w:t>
      </w:r>
      <w:proofErr w:type="spellStart"/>
      <w:r>
        <w:t>Askell</w:t>
      </w:r>
      <w:proofErr w:type="spellEnd"/>
      <w:r>
        <w:t xml:space="preserve">, A. and others (2020) ‘Language models are few-shot </w:t>
      </w:r>
      <w:r>
        <w:t>learners’, in Advances in Neural Information Processing Systems (</w:t>
      </w:r>
      <w:proofErr w:type="spellStart"/>
      <w:r>
        <w:t>NeurIPS</w:t>
      </w:r>
      <w:proofErr w:type="spellEnd"/>
      <w:r>
        <w:t xml:space="preserve"> 2020), vol. 33, pp. 1877–1901.</w:t>
      </w:r>
    </w:p>
    <w:p w:rsidR="00A1009E" w:rsidRDefault="00A51D41">
      <w:pPr>
        <w:spacing w:after="140" w:line="276" w:lineRule="auto"/>
        <w:ind w:left="720" w:hanging="720"/>
        <w:jc w:val="both"/>
      </w:pPr>
      <w:r>
        <w:t>Buffer (2024) Buffer: Social media management platform [Online]. Available at: https://buffer.com (Accessed: 1 April 2025).</w:t>
      </w:r>
    </w:p>
    <w:p w:rsidR="00A1009E" w:rsidRDefault="00A51D41">
      <w:pPr>
        <w:spacing w:after="140" w:line="276" w:lineRule="auto"/>
        <w:ind w:left="720" w:hanging="720"/>
        <w:jc w:val="both"/>
      </w:pPr>
      <w:r>
        <w:t xml:space="preserve">Chase, H. (2023) </w:t>
      </w:r>
      <w:proofErr w:type="spellStart"/>
      <w:r>
        <w:t>CrewAI</w:t>
      </w:r>
      <w:proofErr w:type="spellEnd"/>
      <w:r>
        <w:t>: Fra</w:t>
      </w:r>
      <w:r>
        <w:t>mework for orchestrating role-playing, autonomous AI agents [Online]. GitHub. Available at: https://github.com/crewAIInc/crewAI (Accessed: 1 April 2025).</w:t>
      </w:r>
    </w:p>
    <w:p w:rsidR="00A1009E" w:rsidRDefault="00A51D41">
      <w:pPr>
        <w:spacing w:after="140" w:line="276" w:lineRule="auto"/>
        <w:ind w:left="720" w:hanging="720"/>
        <w:jc w:val="both"/>
      </w:pPr>
      <w:r>
        <w:t>Cohen, J. (1960) ‘A coefficient of agreement for nominal scales’, Educational and Psychological Measur</w:t>
      </w:r>
      <w:r>
        <w:t>ement, 20(1), pp. 37–46.</w:t>
      </w:r>
    </w:p>
    <w:p w:rsidR="00A1009E" w:rsidRDefault="00A51D41">
      <w:pPr>
        <w:spacing w:after="140" w:line="276" w:lineRule="auto"/>
        <w:ind w:left="720" w:hanging="720"/>
        <w:jc w:val="both"/>
      </w:pPr>
      <w:r>
        <w:t>Copy.ai (2024) Copy.ai: AI-powered copywriting platform [Online]. Available at: https://www.copy.ai (Accessed: 1 April 2025).</w:t>
      </w:r>
    </w:p>
    <w:p w:rsidR="00A1009E" w:rsidRDefault="00A51D41">
      <w:pPr>
        <w:spacing w:after="140" w:line="276" w:lineRule="auto"/>
        <w:ind w:left="720" w:hanging="720"/>
        <w:jc w:val="both"/>
      </w:pPr>
      <w:r>
        <w:t xml:space="preserve">Davenport, T., Guha, A., Grewal, D. and </w:t>
      </w:r>
      <w:proofErr w:type="spellStart"/>
      <w:r>
        <w:t>Bressgott</w:t>
      </w:r>
      <w:proofErr w:type="spellEnd"/>
      <w:r>
        <w:t>, T. (2020) ‘How artificial intelligence will change the</w:t>
      </w:r>
      <w:r>
        <w:t xml:space="preserve"> future of marketing’, Journal of the Academy of Marketing Science, 48(1), pp. 24–42.</w:t>
      </w:r>
    </w:p>
    <w:p w:rsidR="00A1009E" w:rsidRDefault="00A51D41">
      <w:pPr>
        <w:spacing w:after="140" w:line="276" w:lineRule="auto"/>
        <w:ind w:left="720" w:hanging="720"/>
        <w:jc w:val="both"/>
      </w:pPr>
      <w:r>
        <w:t xml:space="preserve">Dwivedi, Y. K., </w:t>
      </w:r>
      <w:proofErr w:type="spellStart"/>
      <w:r>
        <w:t>Kshetri</w:t>
      </w:r>
      <w:proofErr w:type="spellEnd"/>
      <w:r>
        <w:t xml:space="preserve">, N., Hughes, L., Slade, E. L., </w:t>
      </w:r>
      <w:proofErr w:type="spellStart"/>
      <w:r>
        <w:t>Jeyaraj</w:t>
      </w:r>
      <w:proofErr w:type="spellEnd"/>
      <w:r>
        <w:t xml:space="preserve">, A., Kar, A. K., </w:t>
      </w:r>
      <w:proofErr w:type="spellStart"/>
      <w:r>
        <w:t>Baabdullah</w:t>
      </w:r>
      <w:proofErr w:type="spellEnd"/>
      <w:r>
        <w:t xml:space="preserve">, A. M., </w:t>
      </w:r>
      <w:proofErr w:type="spellStart"/>
      <w:r>
        <w:t>Koohang</w:t>
      </w:r>
      <w:proofErr w:type="spellEnd"/>
      <w:r>
        <w:t xml:space="preserve">, A., Raghavan, V., Ahuja, M. and others (2023) ‘“So what if </w:t>
      </w:r>
      <w:proofErr w:type="spellStart"/>
      <w:r>
        <w:t>Cha</w:t>
      </w:r>
      <w:r>
        <w:t>tGPT</w:t>
      </w:r>
      <w:proofErr w:type="spellEnd"/>
      <w:r>
        <w:t xml:space="preserve"> wrote it?” Multidisciplinary perspectives on opportunities, challenges and implications of generative </w:t>
      </w:r>
      <w:r>
        <w:lastRenderedPageBreak/>
        <w:t>conversational AI for research, practice and policy’, International Journal of Information Management, 71, p. 102642.</w:t>
      </w:r>
    </w:p>
    <w:p w:rsidR="00A1009E" w:rsidRDefault="00A51D41">
      <w:pPr>
        <w:spacing w:after="140" w:line="276" w:lineRule="auto"/>
        <w:ind w:left="720" w:hanging="720"/>
        <w:jc w:val="both"/>
      </w:pPr>
      <w:r>
        <w:t xml:space="preserve">Hong, S., </w:t>
      </w:r>
      <w:proofErr w:type="spellStart"/>
      <w:r>
        <w:t>Zhuge</w:t>
      </w:r>
      <w:proofErr w:type="spellEnd"/>
      <w:r>
        <w:t xml:space="preserve">, M., Chen, J., </w:t>
      </w:r>
      <w:r>
        <w:t xml:space="preserve">Zheng, C., Cheng, Y., Zhang, C., Wang, J., Wang, Z., </w:t>
      </w:r>
      <w:proofErr w:type="spellStart"/>
      <w:r>
        <w:t>Yau</w:t>
      </w:r>
      <w:proofErr w:type="spellEnd"/>
      <w:r>
        <w:t xml:space="preserve">, S. K. S., Lin, Z., Zhou, L., Ran, C., Xiao, L., Wu, C. and </w:t>
      </w:r>
      <w:proofErr w:type="spellStart"/>
      <w:r>
        <w:t>Schmidhuber</w:t>
      </w:r>
      <w:proofErr w:type="spellEnd"/>
      <w:r>
        <w:t>, J. (2024) ‘</w:t>
      </w:r>
      <w:proofErr w:type="spellStart"/>
      <w:r>
        <w:t>MetaGPT</w:t>
      </w:r>
      <w:proofErr w:type="spellEnd"/>
      <w:r>
        <w:t>: Meta programming for a multi-agent collaborative framework’, in Proceedings of the 12th International Conf</w:t>
      </w:r>
      <w:r>
        <w:t>erence on Learning Representations (ICLR 2024). Vienna, Austria, 7–11 May.</w:t>
      </w:r>
    </w:p>
    <w:p w:rsidR="00A1009E" w:rsidRDefault="00A51D41">
      <w:pPr>
        <w:spacing w:after="140" w:line="276" w:lineRule="auto"/>
        <w:ind w:left="720" w:hanging="720"/>
        <w:jc w:val="both"/>
      </w:pPr>
      <w:r>
        <w:t>Hootsuite (2024) Hootsuite: Social media management and scheduling platform [Online]. Available at: https://www.hootsuite.com (Accessed: 1 April 2025).</w:t>
      </w:r>
    </w:p>
    <w:p w:rsidR="00A1009E" w:rsidRDefault="00A51D41">
      <w:pPr>
        <w:spacing w:after="140" w:line="276" w:lineRule="auto"/>
        <w:ind w:left="720" w:hanging="720"/>
        <w:jc w:val="both"/>
      </w:pPr>
      <w:r>
        <w:t>Jasper (2024) Jasper: AI cont</w:t>
      </w:r>
      <w:r>
        <w:t>ent platform for marketing teams [Online]. Available at: https://www.jasper.ai (Accessed: 1 April 2025).</w:t>
      </w:r>
    </w:p>
    <w:p w:rsidR="00A1009E" w:rsidRDefault="00A51D41">
      <w:pPr>
        <w:spacing w:after="140" w:line="276" w:lineRule="auto"/>
        <w:ind w:left="720" w:hanging="720"/>
        <w:jc w:val="both"/>
      </w:pPr>
      <w:r>
        <w:t>Later (2024) Later: Social media scheduling and visual planning platform [Online]. Available at: https://later.com (Accessed: 1 April 2025).</w:t>
      </w:r>
    </w:p>
    <w:p w:rsidR="00A1009E" w:rsidRDefault="00A51D41">
      <w:pPr>
        <w:spacing w:after="140" w:line="276" w:lineRule="auto"/>
        <w:ind w:left="720" w:hanging="720"/>
        <w:jc w:val="both"/>
      </w:pPr>
      <w:proofErr w:type="spellStart"/>
      <w:r>
        <w:t>OpenAI</w:t>
      </w:r>
      <w:proofErr w:type="spellEnd"/>
      <w:r>
        <w:t xml:space="preserve"> (20</w:t>
      </w:r>
      <w:r>
        <w:t xml:space="preserve">23) ‘GPT-4 technical report’, </w:t>
      </w:r>
      <w:proofErr w:type="spellStart"/>
      <w:r>
        <w:t>arXiv</w:t>
      </w:r>
      <w:proofErr w:type="spellEnd"/>
      <w:r>
        <w:t xml:space="preserve"> preprint arXiv:2303.08774. Available at: https://arxiv.org/abs/2303.08774 (Accessed: 1 April 2025).</w:t>
      </w:r>
    </w:p>
    <w:p w:rsidR="00A1009E" w:rsidRDefault="00A51D41">
      <w:pPr>
        <w:spacing w:after="140" w:line="276" w:lineRule="auto"/>
        <w:ind w:left="720" w:hanging="720"/>
        <w:jc w:val="both"/>
      </w:pPr>
      <w:r>
        <w:t xml:space="preserve">Ouyang, L., Wu, J., Jiang, X., Almeida, D., Wainwright, C., Mishkin, P., Zhang, C., Agarwal, S., </w:t>
      </w:r>
      <w:proofErr w:type="spellStart"/>
      <w:r>
        <w:t>Slama</w:t>
      </w:r>
      <w:proofErr w:type="spellEnd"/>
      <w:r>
        <w:t xml:space="preserve">, K., Ray, A. and </w:t>
      </w:r>
      <w:r>
        <w:t>others (2022) ‘Training language models to follow instructions with human feedback’, in Advances in Neural Information Processing Systems (</w:t>
      </w:r>
      <w:proofErr w:type="spellStart"/>
      <w:r>
        <w:t>NeurIPS</w:t>
      </w:r>
      <w:proofErr w:type="spellEnd"/>
      <w:r>
        <w:t xml:space="preserve"> 2022), vol. 35, pp. 27730–27744.</w:t>
      </w:r>
    </w:p>
    <w:p w:rsidR="00A1009E" w:rsidRDefault="00A51D41">
      <w:pPr>
        <w:spacing w:after="140" w:line="276" w:lineRule="auto"/>
        <w:ind w:left="720" w:hanging="720"/>
        <w:jc w:val="both"/>
      </w:pPr>
      <w:r>
        <w:t>Park, J. S., O’Brien, J. C., Cai, C. J., Morris, M. R., Liang, P. and Bernst</w:t>
      </w:r>
      <w:r>
        <w:t xml:space="preserve">ein, M. S. (2023) ‘Generative agents: Interactive simulacra of human </w:t>
      </w:r>
      <w:proofErr w:type="spellStart"/>
      <w:r>
        <w:t>behaviour</w:t>
      </w:r>
      <w:proofErr w:type="spellEnd"/>
      <w:r>
        <w:t>’, in Proceedings of the 36th Annual ACM Symposium on User Interface Software and Technology (UIST 2023). San Francisco, CA, 29 October–1 November. New York: ACM, pp. 1–22.</w:t>
      </w:r>
    </w:p>
    <w:p w:rsidR="00A1009E" w:rsidRDefault="00A51D41">
      <w:pPr>
        <w:spacing w:after="140" w:line="276" w:lineRule="auto"/>
        <w:ind w:left="720" w:hanging="720"/>
        <w:jc w:val="both"/>
      </w:pPr>
      <w:r>
        <w:t>Predi</w:t>
      </w:r>
      <w:r>
        <w:t>s.ai (2024) Predis.ai: AI-powered social media content creation and scheduling [Online]. Available at: https://predis.ai (Accessed: 1 April 2025).</w:t>
      </w:r>
    </w:p>
    <w:p w:rsidR="00A1009E" w:rsidRDefault="00A51D41">
      <w:pPr>
        <w:spacing w:after="140" w:line="276" w:lineRule="auto"/>
        <w:ind w:left="720" w:hanging="720"/>
        <w:jc w:val="both"/>
      </w:pPr>
      <w:proofErr w:type="spellStart"/>
      <w:r>
        <w:t>Rombach</w:t>
      </w:r>
      <w:proofErr w:type="spellEnd"/>
      <w:r>
        <w:t xml:space="preserve">, R., </w:t>
      </w:r>
      <w:proofErr w:type="spellStart"/>
      <w:r>
        <w:t>Blattmann</w:t>
      </w:r>
      <w:proofErr w:type="spellEnd"/>
      <w:r>
        <w:t xml:space="preserve">, A., Lorenz, D., </w:t>
      </w:r>
      <w:proofErr w:type="spellStart"/>
      <w:r>
        <w:t>Esser</w:t>
      </w:r>
      <w:proofErr w:type="spellEnd"/>
      <w:r>
        <w:t xml:space="preserve">, P. and </w:t>
      </w:r>
      <w:proofErr w:type="spellStart"/>
      <w:r>
        <w:t>Ommer</w:t>
      </w:r>
      <w:proofErr w:type="spellEnd"/>
      <w:r>
        <w:t xml:space="preserve">, B. (2022) ‘High-resolution image synthesis with </w:t>
      </w:r>
      <w:r>
        <w:t>latent diffusion models’, in Proceedings of the IEEE/CVF Conference on Computer Vision and Pattern Recognition (CVPR 2022). New Orleans, LA, 18–24 June, pp. 10684–10695.</w:t>
      </w:r>
    </w:p>
    <w:p w:rsidR="00A1009E" w:rsidRDefault="00A51D41">
      <w:pPr>
        <w:spacing w:after="140" w:line="276" w:lineRule="auto"/>
        <w:ind w:left="720" w:hanging="720"/>
        <w:jc w:val="both"/>
      </w:pPr>
      <w:r>
        <w:t xml:space="preserve">Schick, T., Dwivedi-Yu, J., </w:t>
      </w:r>
      <w:proofErr w:type="spellStart"/>
      <w:r>
        <w:t>Dessì</w:t>
      </w:r>
      <w:proofErr w:type="spellEnd"/>
      <w:r>
        <w:t xml:space="preserve">, R., </w:t>
      </w:r>
      <w:proofErr w:type="spellStart"/>
      <w:r>
        <w:t>Raileanu</w:t>
      </w:r>
      <w:proofErr w:type="spellEnd"/>
      <w:r>
        <w:t xml:space="preserve">, R., Lomeli, M., </w:t>
      </w:r>
      <w:proofErr w:type="spellStart"/>
      <w:r>
        <w:t>Zettlemoyer</w:t>
      </w:r>
      <w:proofErr w:type="spellEnd"/>
      <w:r>
        <w:t xml:space="preserve">, L., </w:t>
      </w:r>
      <w:proofErr w:type="spellStart"/>
      <w:r>
        <w:t>Canc</w:t>
      </w:r>
      <w:r>
        <w:t>edda</w:t>
      </w:r>
      <w:proofErr w:type="spellEnd"/>
      <w:r>
        <w:t xml:space="preserve">, N. and </w:t>
      </w:r>
      <w:proofErr w:type="spellStart"/>
      <w:r>
        <w:t>Scialom</w:t>
      </w:r>
      <w:proofErr w:type="spellEnd"/>
      <w:r>
        <w:t>, T. (2023) ‘</w:t>
      </w:r>
      <w:proofErr w:type="spellStart"/>
      <w:r>
        <w:t>Toolformer</w:t>
      </w:r>
      <w:proofErr w:type="spellEnd"/>
      <w:r>
        <w:t>: Language models can teach themselves to use tools’, in Advances in Neural Information Processing Systems (</w:t>
      </w:r>
      <w:proofErr w:type="spellStart"/>
      <w:r>
        <w:t>NeurIPS</w:t>
      </w:r>
      <w:proofErr w:type="spellEnd"/>
      <w:r>
        <w:t xml:space="preserve"> 2023), vol. 36, pp. 68539–68551.</w:t>
      </w:r>
    </w:p>
    <w:p w:rsidR="00A1009E" w:rsidRDefault="00A51D41">
      <w:pPr>
        <w:spacing w:after="140" w:line="276" w:lineRule="auto"/>
        <w:ind w:left="720" w:hanging="720"/>
        <w:jc w:val="both"/>
      </w:pPr>
      <w:r>
        <w:t xml:space="preserve">Shinn, N., </w:t>
      </w:r>
      <w:proofErr w:type="spellStart"/>
      <w:r>
        <w:t>Cassano</w:t>
      </w:r>
      <w:proofErr w:type="spellEnd"/>
      <w:r>
        <w:t>, F., Gopinath, A., Narasimhan, K. and Yao, S.</w:t>
      </w:r>
      <w:r>
        <w:t xml:space="preserve"> (2023) ‘</w:t>
      </w:r>
      <w:proofErr w:type="spellStart"/>
      <w:r>
        <w:t>Reflexion</w:t>
      </w:r>
      <w:proofErr w:type="spellEnd"/>
      <w:r>
        <w:t>: Language agents with verbal reinforcement learning’, in Advances in Neural Information Processing Systems (</w:t>
      </w:r>
      <w:proofErr w:type="spellStart"/>
      <w:r>
        <w:t>NeurIPS</w:t>
      </w:r>
      <w:proofErr w:type="spellEnd"/>
      <w:r>
        <w:t xml:space="preserve"> 2023), vol. 36, pp. 8634–8652.</w:t>
      </w:r>
    </w:p>
    <w:p w:rsidR="00A1009E" w:rsidRDefault="00A51D41">
      <w:pPr>
        <w:spacing w:after="140" w:line="276" w:lineRule="auto"/>
        <w:ind w:left="720" w:hanging="720"/>
        <w:jc w:val="both"/>
      </w:pPr>
      <w:r>
        <w:t xml:space="preserve">Wang, L., Ma, C., Feng, X., Zhang, Z., Yang, H., Zhang, J., Chen, Z., Tang, J., Chen, X., </w:t>
      </w:r>
      <w:r>
        <w:t>Lin, Y., Zhao, W. X., Wei, Z. and Wen, J. R. (2024) ‘A survey on large language model based autonomous agents’, Frontiers of Computer Science, 18(6), p. 186345.</w:t>
      </w:r>
    </w:p>
    <w:p w:rsidR="00A1009E" w:rsidRDefault="00A51D41">
      <w:pPr>
        <w:spacing w:after="140" w:line="276" w:lineRule="auto"/>
        <w:ind w:left="720" w:hanging="720"/>
        <w:jc w:val="both"/>
      </w:pPr>
      <w:r>
        <w:lastRenderedPageBreak/>
        <w:t xml:space="preserve">Wei, J., Wang, X., Schuurmans, D., </w:t>
      </w:r>
      <w:proofErr w:type="spellStart"/>
      <w:r>
        <w:t>Bosma</w:t>
      </w:r>
      <w:proofErr w:type="spellEnd"/>
      <w:r>
        <w:t xml:space="preserve">, M., </w:t>
      </w:r>
      <w:proofErr w:type="spellStart"/>
      <w:r>
        <w:t>Ichter</w:t>
      </w:r>
      <w:proofErr w:type="spellEnd"/>
      <w:r>
        <w:t>, B., Xia, F., Chi, E., Le, Q. and Zhou, D.</w:t>
      </w:r>
      <w:r>
        <w:t xml:space="preserve"> (2022) ‘Chain-of-thought prompting elicits reasoning in large language models’, in Advances in Neural Information Processing Systems (</w:t>
      </w:r>
      <w:proofErr w:type="spellStart"/>
      <w:r>
        <w:t>NeurIPS</w:t>
      </w:r>
      <w:proofErr w:type="spellEnd"/>
      <w:r>
        <w:t xml:space="preserve"> 2022), vol. 35, pp. 24824–24837.</w:t>
      </w:r>
    </w:p>
    <w:p w:rsidR="00A1009E" w:rsidRDefault="00A51D41">
      <w:pPr>
        <w:spacing w:after="140" w:line="276" w:lineRule="auto"/>
        <w:ind w:left="720" w:hanging="720"/>
        <w:jc w:val="both"/>
      </w:pPr>
      <w:r>
        <w:t xml:space="preserve">Wu, Q., Bansal, G., Zhang, J., Wu, Y., Li, B., Zhu, E., Jiang, L., Zhang, X., Zhang, S., Liu, J., </w:t>
      </w:r>
      <w:proofErr w:type="spellStart"/>
      <w:r>
        <w:t>Awadallah</w:t>
      </w:r>
      <w:proofErr w:type="spellEnd"/>
      <w:r>
        <w:t>, A. H., White, R. W., Burger, D. and Wang, C. (2023) ‘</w:t>
      </w:r>
      <w:proofErr w:type="spellStart"/>
      <w:r>
        <w:t>AutoGen</w:t>
      </w:r>
      <w:proofErr w:type="spellEnd"/>
      <w:r>
        <w:t xml:space="preserve">: Enabling next-generation LLM applications via multi-agent conversation’, </w:t>
      </w:r>
      <w:proofErr w:type="spellStart"/>
      <w:r>
        <w:t>arXiv</w:t>
      </w:r>
      <w:proofErr w:type="spellEnd"/>
      <w:r>
        <w:t xml:space="preserve"> prepri</w:t>
      </w:r>
      <w:r>
        <w:t>nt arXiv:2308.08155. Available at: https://arxiv.org/abs/2308.08155 (Accessed: 1 April 2025).</w:t>
      </w:r>
    </w:p>
    <w:p w:rsidR="00A1009E" w:rsidRDefault="00A51D41">
      <w:pPr>
        <w:spacing w:after="140" w:line="276" w:lineRule="auto"/>
        <w:ind w:left="720" w:hanging="720"/>
        <w:jc w:val="both"/>
      </w:pPr>
      <w:r>
        <w:t xml:space="preserve">Xi, Z., Chen, W., Guo, X., He, W., Ding, Y., Hong, B., Zhang, M., Wang, J., </w:t>
      </w:r>
      <w:proofErr w:type="spellStart"/>
      <w:r>
        <w:t>Jin</w:t>
      </w:r>
      <w:proofErr w:type="spellEnd"/>
      <w:r>
        <w:t xml:space="preserve">, S., Zhou, E., Zheng, R., Fan, X., Wang, X., </w:t>
      </w:r>
      <w:proofErr w:type="spellStart"/>
      <w:r>
        <w:t>Xiong</w:t>
      </w:r>
      <w:proofErr w:type="spellEnd"/>
      <w:r>
        <w:t>, L., Zhou, Y., Wang, W., Jiang,</w:t>
      </w:r>
      <w:r>
        <w:t xml:space="preserve"> C., Zou, Y., Liu, X., Yin, Z., Dou, S., Weng, R., Cheng, W., Zhang, Q., Qin, W., Zheng, Y., </w:t>
      </w:r>
      <w:proofErr w:type="spellStart"/>
      <w:r>
        <w:t>Qiu</w:t>
      </w:r>
      <w:proofErr w:type="spellEnd"/>
      <w:r>
        <w:t xml:space="preserve">, X., Huang, X. and </w:t>
      </w:r>
      <w:proofErr w:type="spellStart"/>
      <w:r>
        <w:t>Gui</w:t>
      </w:r>
      <w:proofErr w:type="spellEnd"/>
      <w:r>
        <w:t xml:space="preserve">, T. (2023) ‘The rise and potential of large language model based agents: A survey’, </w:t>
      </w:r>
      <w:proofErr w:type="spellStart"/>
      <w:r>
        <w:t>arXiv</w:t>
      </w:r>
      <w:proofErr w:type="spellEnd"/>
      <w:r>
        <w:t xml:space="preserve"> preprint arXiv:2309.07864. Available at: https</w:t>
      </w:r>
      <w:r>
        <w:t>://arxiv.org/abs/2309.07864 (Accessed: 1 April 2025).</w:t>
      </w:r>
    </w:p>
    <w:p w:rsidR="00A1009E" w:rsidRDefault="00A51D41">
      <w:pPr>
        <w:spacing w:after="140" w:line="276" w:lineRule="auto"/>
        <w:ind w:left="720" w:hanging="720"/>
        <w:jc w:val="both"/>
      </w:pPr>
      <w:r>
        <w:t xml:space="preserve">Yao, S., Zhao, J., Yu, D., Du, N., </w:t>
      </w:r>
      <w:proofErr w:type="spellStart"/>
      <w:r>
        <w:t>Shafran</w:t>
      </w:r>
      <w:proofErr w:type="spellEnd"/>
      <w:r>
        <w:t>, I., Narasimhan, K. and Cao, Y. (2023) ‘</w:t>
      </w:r>
      <w:proofErr w:type="spellStart"/>
      <w:r>
        <w:t>ReAct</w:t>
      </w:r>
      <w:proofErr w:type="spellEnd"/>
      <w:r>
        <w:t xml:space="preserve">: </w:t>
      </w:r>
      <w:proofErr w:type="spellStart"/>
      <w:r>
        <w:t>Synergising</w:t>
      </w:r>
      <w:proofErr w:type="spellEnd"/>
      <w:r>
        <w:t xml:space="preserve"> reasoning and acting in language models’, in Proceedings of the 11th International Conference on Lea</w:t>
      </w:r>
      <w:r>
        <w:t>rning Representations (ICLR 2023). Kigali, Rwanda, 1–5 May.</w:t>
      </w:r>
    </w:p>
    <w:p w:rsidR="00A1009E" w:rsidRDefault="00A51D41">
      <w:pPr>
        <w:spacing w:after="140" w:line="276" w:lineRule="auto"/>
        <w:ind w:left="720" w:hanging="720"/>
        <w:jc w:val="both"/>
      </w:pPr>
      <w:r>
        <w:t xml:space="preserve">Zheng, L., Chiang, W. L., Sheng, Y., Zhuang, S., Wu, Z., Zhuang, Y., Lin, Z., Li, Z., Li, D., Xing, E. P., Zhang, H., Gonzalez, J. E. and </w:t>
      </w:r>
      <w:proofErr w:type="spellStart"/>
      <w:r>
        <w:t>Stoica</w:t>
      </w:r>
      <w:proofErr w:type="spellEnd"/>
      <w:r>
        <w:t>, I. (2023) ‘Judging LLM-as-a-judge with MT-Bench an</w:t>
      </w:r>
      <w:r>
        <w:t>d Chatbot Arena’, in Advances in Neural Information Processing Systems (</w:t>
      </w:r>
      <w:proofErr w:type="spellStart"/>
      <w:r>
        <w:t>NeurIPS</w:t>
      </w:r>
      <w:proofErr w:type="spellEnd"/>
      <w:r>
        <w:t xml:space="preserve"> 2023), vol. 36, pp. 46595–46623.</w:t>
      </w:r>
    </w:p>
    <w:sectPr w:rsidR="00A100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A43766"/>
    <w:multiLevelType w:val="hybridMultilevel"/>
    <w:tmpl w:val="EA36E286"/>
    <w:lvl w:ilvl="0" w:tplc="B1DCBA6C">
      <w:start w:val="1"/>
      <w:numFmt w:val="bullet"/>
      <w:lvlText w:val="●"/>
      <w:lvlJc w:val="left"/>
      <w:pPr>
        <w:ind w:left="720" w:hanging="360"/>
      </w:pPr>
    </w:lvl>
    <w:lvl w:ilvl="1" w:tplc="6BB8F7EE">
      <w:start w:val="1"/>
      <w:numFmt w:val="bullet"/>
      <w:lvlText w:val="○"/>
      <w:lvlJc w:val="left"/>
      <w:pPr>
        <w:ind w:left="1440" w:hanging="360"/>
      </w:pPr>
    </w:lvl>
    <w:lvl w:ilvl="2" w:tplc="2498611E">
      <w:start w:val="1"/>
      <w:numFmt w:val="bullet"/>
      <w:lvlText w:val="■"/>
      <w:lvlJc w:val="left"/>
      <w:pPr>
        <w:ind w:left="2160" w:hanging="360"/>
      </w:pPr>
    </w:lvl>
    <w:lvl w:ilvl="3" w:tplc="2A6029E0">
      <w:start w:val="1"/>
      <w:numFmt w:val="bullet"/>
      <w:lvlText w:val="●"/>
      <w:lvlJc w:val="left"/>
      <w:pPr>
        <w:ind w:left="2880" w:hanging="360"/>
      </w:pPr>
    </w:lvl>
    <w:lvl w:ilvl="4" w:tplc="E0B2AB34">
      <w:start w:val="1"/>
      <w:numFmt w:val="bullet"/>
      <w:lvlText w:val="○"/>
      <w:lvlJc w:val="left"/>
      <w:pPr>
        <w:ind w:left="3600" w:hanging="360"/>
      </w:pPr>
    </w:lvl>
    <w:lvl w:ilvl="5" w:tplc="73481E42">
      <w:start w:val="1"/>
      <w:numFmt w:val="bullet"/>
      <w:lvlText w:val="■"/>
      <w:lvlJc w:val="left"/>
      <w:pPr>
        <w:ind w:left="4320" w:hanging="360"/>
      </w:pPr>
    </w:lvl>
    <w:lvl w:ilvl="6" w:tplc="3EF4A428">
      <w:start w:val="1"/>
      <w:numFmt w:val="bullet"/>
      <w:lvlText w:val="●"/>
      <w:lvlJc w:val="left"/>
      <w:pPr>
        <w:ind w:left="5040" w:hanging="360"/>
      </w:pPr>
    </w:lvl>
    <w:lvl w:ilvl="7" w:tplc="424E33FE">
      <w:start w:val="1"/>
      <w:numFmt w:val="bullet"/>
      <w:lvlText w:val="●"/>
      <w:lvlJc w:val="left"/>
      <w:pPr>
        <w:ind w:left="5760" w:hanging="360"/>
      </w:pPr>
    </w:lvl>
    <w:lvl w:ilvl="8" w:tplc="FA0898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9E"/>
    <w:rsid w:val="00795EB3"/>
    <w:rsid w:val="00A1009E"/>
    <w:rsid w:val="00A51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8B0F"/>
  <w15:docId w15:val="{9E59D2CB-D5F3-45C8-923F-1C98135E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3074</Words>
  <Characters>17525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Mehak Kalra</cp:lastModifiedBy>
  <cp:revision>2</cp:revision>
  <dcterms:created xsi:type="dcterms:W3CDTF">2026-05-04T05:07:00Z</dcterms:created>
  <dcterms:modified xsi:type="dcterms:W3CDTF">2026-05-04T06:23:00Z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bf6cb146-555e-46ca-aa18-bd25a23f6cfd</vt:lpwstr>
  </property>
</Properties>
</file>