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2E5395"/>
          <w:sz w:val="26"/>
          <w:szCs w:val="26"/>
        </w:rPr>
        <w:t xml:space="preserve">SESSION 15</w:t>
      </w:r>
    </w:p>
    <w:p>
      <w:pPr>
        <w:spacing w:after="60"/>
        <w:jc w:val="center"/>
      </w:pPr>
      <w:r>
        <w:rPr>
          <w:rFonts w:ascii="Calibri" w:cs="Calibri" w:eastAsia="Calibri" w:hAnsi="Calibri"/>
          <w:b/>
          <w:bCs/>
          <w:color w:val="1F3864"/>
          <w:sz w:val="44"/>
          <w:szCs w:val="44"/>
        </w:rPr>
        <w:t xml:space="preserve">ANOVA (Analysis of Variance)</w:t>
      </w:r>
    </w:p>
    <w:p>
      <w:pPr>
        <w:pBdr>
          <w:bottom w:val="single" w:color="1F3864" w:sz="8" w:space="6"/>
        </w:pBdr>
        <w:spacing w:after="240"/>
        <w:jc w:val="center"/>
      </w:pPr>
      <w:r>
        <w:rPr>
          <w:rFonts w:ascii="Calibri" w:cs="Calibri" w:eastAsia="Calibri" w:hAnsi="Calibri"/>
          <w:i/>
          <w:iCs/>
          <w:color w:val="595959"/>
          <w:sz w:val="24"/>
          <w:szCs w:val="24"/>
        </w:rPr>
        <w:t xml:space="preserve">Assignment Notes with Worked Demo</w:t>
      </w:r>
    </w:p>
    <w:p>
      <w:pPr>
        <w:spacing w:after="120" w:line="276"/>
      </w:pPr>
      <w:r>
        <w:rPr>
          <w:rFonts w:ascii="Calibri" w:cs="Calibri" w:eastAsia="Calibri" w:hAnsi="Calibri"/>
          <w:b/>
          <w:bCs/>
          <w:sz w:val="22"/>
          <w:szCs w:val="22"/>
        </w:rPr>
        <w:t xml:space="preserve">Topics covered: </w:t>
      </w:r>
      <w:r>
        <w:rPr>
          <w:rFonts w:ascii="Calibri" w:cs="Calibri" w:eastAsia="Calibri" w:hAnsi="Calibri"/>
          <w:sz w:val="22"/>
          <w:szCs w:val="22"/>
        </w:rPr>
        <w:t xml:space="preserve">One-way ANOVA  |  Between-group vs Within-group Variance  |  Use-case: Comparing Means of 3 Customer Groups  |  Demo: Average Purchase Values Across Age Groups</w:t>
      </w:r>
    </w:p>
    <w:p>
      <w:pPr>
        <w:pStyle w:val="Heading1"/>
        <w:spacing w:after="120" w:before="300"/>
      </w:pPr>
      <w:r>
        <w:rPr>
          <w:rFonts w:ascii="Calibri" w:cs="Calibri" w:eastAsia="Calibri" w:hAnsi="Calibri"/>
          <w:b/>
          <w:bCs/>
          <w:color w:val="1F3864"/>
          <w:sz w:val="30"/>
          <w:szCs w:val="30"/>
        </w:rPr>
        <w:t xml:space="preserve">1. Why ANOVA?</w:t>
      </w:r>
    </w:p>
    <w:p>
      <w:pPr>
        <w:spacing w:after="120" w:line="276"/>
      </w:pPr>
      <w:r>
        <w:rPr>
          <w:rFonts w:ascii="Calibri" w:cs="Calibri" w:eastAsia="Calibri" w:hAnsi="Calibri"/>
          <w:sz w:val="22"/>
          <w:szCs w:val="22"/>
        </w:rPr>
        <w:t xml:space="preserve">A t-test compares the means of two groups. When we need to compare three or more groups (for example, three customer segments), we use Analysis of Variance (ANOVA). It tests all the group means at once to find out whether at least one of them differs from the others.</w:t>
      </w:r>
    </w:p>
    <w:p>
      <w:pPr>
        <w:pStyle w:val="Heading2"/>
        <w:spacing w:after="80" w:before="180"/>
      </w:pPr>
      <w:r>
        <w:rPr>
          <w:rFonts w:ascii="Calibri" w:cs="Calibri" w:eastAsia="Calibri" w:hAnsi="Calibri"/>
          <w:b/>
          <w:bCs/>
          <w:color w:val="2E5395"/>
          <w:sz w:val="25"/>
          <w:szCs w:val="25"/>
        </w:rPr>
        <w:t xml:space="preserve">1.1 Why not run several t-tests?</w:t>
      </w:r>
    </w:p>
    <w:p>
      <w:pPr>
        <w:spacing w:after="120" w:line="276"/>
      </w:pPr>
      <w:r>
        <w:rPr>
          <w:rFonts w:ascii="Calibri" w:cs="Calibri" w:eastAsia="Calibri" w:hAnsi="Calibri"/>
          <w:sz w:val="22"/>
          <w:szCs w:val="22"/>
        </w:rPr>
        <w:t xml:space="preserve">Comparing three groups with separate t-tests needs 3 tests (A vs B, A vs C, B vs C). Each test at α = 0.05 carries a 5% risk of a false positive, so the overall chance of at least one false positive rises to:</w:t>
      </w:r>
    </w:p>
    <w:p>
      <w:pPr>
        <w:shd w:fill="EAF0FA" w:val="clear"/>
        <w:spacing w:after="160" w:before="80"/>
        <w:jc w:val="center"/>
      </w:pPr>
      <w:r>
        <w:rPr>
          <w:rFonts w:ascii="Cambria Math" w:cs="Cambria Math" w:eastAsia="Cambria Math" w:hAnsi="Cambria Math"/>
          <w:b/>
          <w:bCs/>
          <w:sz w:val="24"/>
          <w:szCs w:val="24"/>
        </w:rPr>
        <w:t xml:space="preserve">1 − (0.95)³ = 0.143  (about 14.3%)</w:t>
      </w:r>
    </w:p>
    <w:p>
      <w:pPr>
        <w:spacing w:after="120" w:line="276"/>
      </w:pPr>
      <w:r>
        <w:rPr>
          <w:rFonts w:ascii="Calibri" w:cs="Calibri" w:eastAsia="Calibri" w:hAnsi="Calibri"/>
          <w:sz w:val="22"/>
          <w:szCs w:val="22"/>
        </w:rPr>
        <w:t xml:space="preserve">With more groups the problem gets worse. ANOVA performs a single overall test that keeps the Type I error at α.</w:t>
      </w:r>
    </w:p>
    <w:p>
      <w:pPr>
        <w:pStyle w:val="Heading1"/>
        <w:spacing w:after="120" w:before="300"/>
      </w:pPr>
      <w:r>
        <w:rPr>
          <w:rFonts w:ascii="Calibri" w:cs="Calibri" w:eastAsia="Calibri" w:hAnsi="Calibri"/>
          <w:b/>
          <w:bCs/>
          <w:color w:val="1F3864"/>
          <w:sz w:val="30"/>
          <w:szCs w:val="30"/>
        </w:rPr>
        <w:t xml:space="preserve">2. One-way ANOVA</w:t>
      </w:r>
    </w:p>
    <w:p>
      <w:pPr>
        <w:spacing w:after="120" w:line="276"/>
      </w:pPr>
      <w:r>
        <w:rPr>
          <w:rFonts w:ascii="Calibri" w:cs="Calibri" w:eastAsia="Calibri" w:hAnsi="Calibri"/>
          <w:sz w:val="22"/>
          <w:szCs w:val="22"/>
        </w:rPr>
        <w:t xml:space="preserve">One-way ANOVA tests whether the means of k independent groups are equal, using one categorical factor (for example, age group) and one numerical outcome (for example, purchase value).</w:t>
      </w:r>
    </w:p>
    <w:p>
      <w:pPr>
        <w:pStyle w:val="Heading2"/>
        <w:spacing w:after="80" w:before="180"/>
      </w:pPr>
      <w:r>
        <w:rPr>
          <w:rFonts w:ascii="Calibri" w:cs="Calibri" w:eastAsia="Calibri" w:hAnsi="Calibri"/>
          <w:b/>
          <w:bCs/>
          <w:color w:val="2E5395"/>
          <w:sz w:val="25"/>
          <w:szCs w:val="25"/>
        </w:rPr>
        <w:t xml:space="preserve">2.1 Hypotheses</w:t>
      </w:r>
    </w:p>
    <w:p>
      <w:pPr>
        <w:pStyle w:val="ListParagraph"/>
        <w:numPr>
          <w:ilvl w:val="0"/>
          <w:numId w:val="2"/>
        </w:numPr>
        <w:spacing w:after="60"/>
      </w:pPr>
      <w:r>
        <w:rPr>
          <w:rFonts w:ascii="Calibri" w:cs="Calibri" w:eastAsia="Calibri" w:hAnsi="Calibri"/>
          <w:b/>
          <w:bCs/>
          <w:sz w:val="22"/>
          <w:szCs w:val="22"/>
        </w:rPr>
        <w:t xml:space="preserve">H₀: </w:t>
      </w:r>
      <w:r>
        <w:rPr>
          <w:rFonts w:ascii="Calibri" w:cs="Calibri" w:eastAsia="Calibri" w:hAnsi="Calibri"/>
          <w:sz w:val="22"/>
          <w:szCs w:val="22"/>
        </w:rPr>
        <w:t xml:space="preserve">μ₁ = μ₂ = … = μₖ (all group means are equal).</w:t>
      </w:r>
    </w:p>
    <w:p>
      <w:pPr>
        <w:pStyle w:val="ListParagraph"/>
        <w:numPr>
          <w:ilvl w:val="0"/>
          <w:numId w:val="2"/>
        </w:numPr>
        <w:spacing w:after="60"/>
      </w:pPr>
      <w:r>
        <w:rPr>
          <w:rFonts w:ascii="Calibri" w:cs="Calibri" w:eastAsia="Calibri" w:hAnsi="Calibri"/>
          <w:b/>
          <w:bCs/>
          <w:sz w:val="22"/>
          <w:szCs w:val="22"/>
        </w:rPr>
        <w:t xml:space="preserve">H₁: </w:t>
      </w:r>
      <w:r>
        <w:rPr>
          <w:rFonts w:ascii="Calibri" w:cs="Calibri" w:eastAsia="Calibri" w:hAnsi="Calibri"/>
          <w:sz w:val="22"/>
          <w:szCs w:val="22"/>
        </w:rPr>
        <w:t xml:space="preserve">at least one group mean is different.</w:t>
      </w:r>
    </w:p>
    <w:p>
      <w:pPr>
        <w:spacing w:after="120" w:line="276"/>
      </w:pPr>
      <w:r>
        <w:rPr>
          <w:rFonts w:ascii="Calibri" w:cs="Calibri" w:eastAsia="Calibri" w:hAnsi="Calibri"/>
          <w:sz w:val="22"/>
          <w:szCs w:val="22"/>
        </w:rPr>
        <w:t xml:space="preserve">Note that H₁ does not say which group differs or how many differ. That needs a follow-up (post-hoc) test.</w:t>
      </w:r>
    </w:p>
    <w:p>
      <w:pPr>
        <w:pStyle w:val="Heading2"/>
        <w:spacing w:after="80" w:before="180"/>
      </w:pPr>
      <w:r>
        <w:rPr>
          <w:rFonts w:ascii="Calibri" w:cs="Calibri" w:eastAsia="Calibri" w:hAnsi="Calibri"/>
          <w:b/>
          <w:bCs/>
          <w:color w:val="2E5395"/>
          <w:sz w:val="25"/>
          <w:szCs w:val="25"/>
        </w:rPr>
        <w:t xml:space="preserve">2.2 Assumptions</w:t>
      </w:r>
    </w:p>
    <w:p>
      <w:pPr>
        <w:pStyle w:val="ListParagraph"/>
        <w:numPr>
          <w:ilvl w:val="0"/>
          <w:numId w:val="2"/>
        </w:numPr>
        <w:spacing w:after="60"/>
      </w:pPr>
      <w:r>
        <w:rPr>
          <w:rFonts w:ascii="Calibri" w:cs="Calibri" w:eastAsia="Calibri" w:hAnsi="Calibri"/>
          <w:sz w:val="22"/>
          <w:szCs w:val="22"/>
        </w:rPr>
        <w:t xml:space="preserve">Independence: observations are independent, and each belongs to only one group.</w:t>
      </w:r>
    </w:p>
    <w:p>
      <w:pPr>
        <w:pStyle w:val="ListParagraph"/>
        <w:numPr>
          <w:ilvl w:val="0"/>
          <w:numId w:val="2"/>
        </w:numPr>
        <w:spacing w:after="60"/>
      </w:pPr>
      <w:r>
        <w:rPr>
          <w:rFonts w:ascii="Calibri" w:cs="Calibri" w:eastAsia="Calibri" w:hAnsi="Calibri"/>
          <w:sz w:val="22"/>
          <w:szCs w:val="22"/>
        </w:rPr>
        <w:t xml:space="preserve">Normality: the outcome is approximately normal within each group (less important with equal and reasonably large group sizes).</w:t>
      </w:r>
    </w:p>
    <w:p>
      <w:pPr>
        <w:pStyle w:val="ListParagraph"/>
        <w:numPr>
          <w:ilvl w:val="0"/>
          <w:numId w:val="2"/>
        </w:numPr>
        <w:spacing w:after="60"/>
      </w:pPr>
      <w:r>
        <w:rPr>
          <w:rFonts w:ascii="Calibri" w:cs="Calibri" w:eastAsia="Calibri" w:hAnsi="Calibri"/>
          <w:sz w:val="22"/>
          <w:szCs w:val="22"/>
        </w:rPr>
        <w:t xml:space="preserve">Equal variances (homogeneity): the groups have similar spread. This can be checked with Levene’s test.</w:t>
      </w:r>
    </w:p>
    <w:p>
      <w:pPr>
        <w:pStyle w:val="Heading2"/>
        <w:spacing w:after="80" w:before="180"/>
      </w:pPr>
      <w:r>
        <w:rPr>
          <w:rFonts w:ascii="Calibri" w:cs="Calibri" w:eastAsia="Calibri" w:hAnsi="Calibri"/>
          <w:b/>
          <w:bCs/>
          <w:color w:val="2E5395"/>
          <w:sz w:val="25"/>
          <w:szCs w:val="25"/>
        </w:rPr>
        <w:t xml:space="preserve">2.3 Notation and formulas</w:t>
      </w:r>
    </w:p>
    <w:p>
      <w:pPr>
        <w:spacing w:after="120" w:line="276"/>
      </w:pPr>
      <w:r>
        <w:rPr>
          <w:rFonts w:ascii="Calibri" w:cs="Calibri" w:eastAsia="Calibri" w:hAnsi="Calibri"/>
          <w:sz w:val="22"/>
          <w:szCs w:val="22"/>
        </w:rPr>
        <w:t xml:space="preserve">Let k be the number of groups, nᵢ the size of group i, N the total number of observations, X̅ᵢ the mean of group i and X̅ the grand mean.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cantSplit/>
          <w:tblHeader/>
        </w:trPr>
        <w:tc>
          <w:tcPr>
            <w:tcW w:type="dxa" w:w="32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left"/>
            </w:pPr>
            <w:r>
              <w:rPr>
                <w:rFonts w:ascii="Calibri" w:cs="Calibri" w:eastAsia="Calibri" w:hAnsi="Calibri"/>
                <w:b/>
                <w:bCs/>
                <w:color w:val="FFFFFF"/>
                <w:sz w:val="21"/>
                <w:szCs w:val="21"/>
              </w:rPr>
              <w:t xml:space="preserve">Quantity</w:t>
            </w:r>
          </w:p>
        </w:tc>
        <w:tc>
          <w:tcPr>
            <w:tcW w:type="dxa" w:w="58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Formula</w:t>
            </w:r>
          </w:p>
        </w:tc>
      </w:tr>
      <w:tr>
        <w:trPr>
          <w:cantSplit/>
          <w:tblHeader w:val="false"/>
        </w:trPr>
        <w:tc>
          <w:tcPr>
            <w:tcW w:type="dxa" w:w="32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Between-group sum of squares</w:t>
            </w:r>
          </w:p>
        </w:tc>
        <w:tc>
          <w:tcPr>
            <w:tcW w:type="dxa" w:w="5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SSB = Σ nᵢ (X̅ᵢ − X̅)²</w:t>
            </w:r>
          </w:p>
        </w:tc>
      </w:tr>
      <w:tr>
        <w:trPr>
          <w:cantSplit/>
          <w:tblHeader w:val="false"/>
        </w:trPr>
        <w:tc>
          <w:tcPr>
            <w:tcW w:type="dxa" w:w="32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Within-group sum of squares</w:t>
            </w:r>
          </w:p>
        </w:tc>
        <w:tc>
          <w:tcPr>
            <w:tcW w:type="dxa" w:w="5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SSW = Σ Σ (Xᵢⱼ − X̅ᵢ)²</w:t>
            </w:r>
          </w:p>
        </w:tc>
      </w:tr>
      <w:tr>
        <w:trPr>
          <w:cantSplit/>
          <w:tblHeader w:val="false"/>
        </w:trPr>
        <w:tc>
          <w:tcPr>
            <w:tcW w:type="dxa" w:w="32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Total sum of squares</w:t>
            </w:r>
          </w:p>
        </w:tc>
        <w:tc>
          <w:tcPr>
            <w:tcW w:type="dxa" w:w="5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SST = SSB + SSW</w:t>
            </w:r>
          </w:p>
        </w:tc>
      </w:tr>
      <w:tr>
        <w:trPr>
          <w:cantSplit/>
          <w:tblHeader w:val="false"/>
        </w:trPr>
        <w:tc>
          <w:tcPr>
            <w:tcW w:type="dxa" w:w="32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Degrees of freedom</w:t>
            </w:r>
          </w:p>
        </w:tc>
        <w:tc>
          <w:tcPr>
            <w:tcW w:type="dxa" w:w="5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df between = k − 1,  df within = N − k</w:t>
            </w:r>
          </w:p>
        </w:tc>
      </w:tr>
      <w:tr>
        <w:trPr>
          <w:cantSplit/>
          <w:tblHeader w:val="false"/>
        </w:trPr>
        <w:tc>
          <w:tcPr>
            <w:tcW w:type="dxa" w:w="32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Mean squares</w:t>
            </w:r>
          </w:p>
        </w:tc>
        <w:tc>
          <w:tcPr>
            <w:tcW w:type="dxa" w:w="5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MSB = SSB / (k − 1),  MSW = SSW / (N − k)</w:t>
            </w:r>
          </w:p>
        </w:tc>
      </w:tr>
      <w:tr>
        <w:trPr>
          <w:cantSplit/>
          <w:tblHeader w:val="false"/>
        </w:trPr>
        <w:tc>
          <w:tcPr>
            <w:tcW w:type="dxa" w:w="32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val="false"/>
              <w:jc w:val="left"/>
            </w:pPr>
            <w:r>
              <w:rPr>
                <w:rFonts w:ascii="Calibri" w:cs="Calibri" w:eastAsia="Calibri" w:hAnsi="Calibri"/>
                <w:b/>
                <w:bCs/>
                <w:color w:val="000000"/>
                <w:sz w:val="21"/>
                <w:szCs w:val="21"/>
              </w:rPr>
              <w:t xml:space="preserve">F statistic</w:t>
            </w:r>
          </w:p>
        </w:tc>
        <w:tc>
          <w:tcPr>
            <w:tcW w:type="dxa" w:w="5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F = MSB / MSW</w:t>
            </w:r>
          </w:p>
        </w:tc>
      </w:tr>
    </w:tbl>
    <w:p>
      <w:pPr>
        <w:spacing w:after="120"/>
      </w:pPr>
    </w:p>
    <w:p>
      <w:pPr>
        <w:pStyle w:val="Heading2"/>
        <w:spacing w:after="80" w:before="180"/>
      </w:pPr>
      <w:r>
        <w:rPr>
          <w:rFonts w:ascii="Calibri" w:cs="Calibri" w:eastAsia="Calibri" w:hAnsi="Calibri"/>
          <w:b/>
          <w:bCs/>
          <w:color w:val="2E5395"/>
          <w:sz w:val="25"/>
          <w:szCs w:val="25"/>
        </w:rPr>
        <w:t xml:space="preserve">2.4 ANOVA table layout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300"/>
        <w:gridCol w:w="1700"/>
        <w:gridCol w:w="1000"/>
        <w:gridCol w:w="1100"/>
      </w:tblGrid>
      <w:tr>
        <w:trPr>
          <w:cantSplit/>
          <w:tblHeader/>
        </w:trPr>
        <w:tc>
          <w:tcPr>
            <w:tcW w:type="dxa" w:w="22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left"/>
            </w:pPr>
            <w:r>
              <w:rPr>
                <w:rFonts w:ascii="Calibri" w:cs="Calibri" w:eastAsia="Calibri" w:hAnsi="Calibri"/>
                <w:b/>
                <w:bCs/>
                <w:color w:val="FFFFFF"/>
                <w:sz w:val="21"/>
                <w:szCs w:val="21"/>
              </w:rPr>
              <w:t xml:space="preserve">Source</w:t>
            </w:r>
          </w:p>
        </w:tc>
        <w:tc>
          <w:tcPr>
            <w:tcW w:type="dxa" w:w="17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Sum of squares</w:t>
            </w:r>
          </w:p>
        </w:tc>
        <w:tc>
          <w:tcPr>
            <w:tcW w:type="dxa" w:w="13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df</w:t>
            </w:r>
          </w:p>
        </w:tc>
        <w:tc>
          <w:tcPr>
            <w:tcW w:type="dxa" w:w="17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Mean square</w:t>
            </w:r>
          </w:p>
        </w:tc>
        <w:tc>
          <w:tcPr>
            <w:tcW w:type="dxa" w:w="10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F</w:t>
            </w:r>
          </w:p>
        </w:tc>
        <w:tc>
          <w:tcPr>
            <w:tcW w:type="dxa" w:w="11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p</w:t>
            </w:r>
          </w:p>
        </w:tc>
      </w:tr>
      <w:tr>
        <w:trPr>
          <w:cantSplit/>
          <w:tblHeader w:val="false"/>
        </w:trPr>
        <w:tc>
          <w:tcPr>
            <w:tcW w:type="dxa" w:w="22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Between groups</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SSB</w:t>
            </w:r>
          </w:p>
        </w:tc>
        <w:tc>
          <w:tcPr>
            <w:tcW w:type="dxa" w:w="1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k − 1</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MSB</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MSB / MSW</w:t>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p-value</w:t>
            </w:r>
          </w:p>
        </w:tc>
      </w:tr>
      <w:tr>
        <w:trPr>
          <w:cantSplit/>
          <w:tblHeader w:val="false"/>
        </w:trPr>
        <w:tc>
          <w:tcPr>
            <w:tcW w:type="dxa" w:w="22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Within groups</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SSW</w:t>
            </w:r>
          </w:p>
        </w:tc>
        <w:tc>
          <w:tcPr>
            <w:tcW w:type="dxa" w:w="1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N − k</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MSW</w:t>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
            </w:r>
          </w:p>
        </w:tc>
      </w:tr>
      <w:tr>
        <w:trPr>
          <w:cantSplit/>
          <w:tblHeader w:val="false"/>
        </w:trPr>
        <w:tc>
          <w:tcPr>
            <w:tcW w:type="dxa" w:w="22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val="false"/>
              <w:jc w:val="left"/>
            </w:pPr>
            <w:r>
              <w:rPr>
                <w:rFonts w:ascii="Calibri" w:cs="Calibri" w:eastAsia="Calibri" w:hAnsi="Calibri"/>
                <w:b/>
                <w:bCs/>
                <w:color w:val="000000"/>
                <w:sz w:val="21"/>
                <w:szCs w:val="21"/>
              </w:rPr>
              <w:t xml:space="preserve">Total</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SST</w:t>
            </w:r>
          </w:p>
        </w:tc>
        <w:tc>
          <w:tcPr>
            <w:tcW w:type="dxa" w:w="1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N − 1</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
            </w:r>
          </w:p>
        </w:tc>
        <w:tc>
          <w:tcPr>
            <w:tcW w:type="dxa" w:w="10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
            </w:r>
          </w:p>
        </w:tc>
        <w:tc>
          <w:tcPr>
            <w:tcW w:type="dxa" w:w="1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
            </w:r>
          </w:p>
        </w:tc>
      </w:tr>
    </w:tbl>
    <w:p>
      <w:pPr>
        <w:spacing w:after="120"/>
      </w:pPr>
    </w:p>
    <w:p>
      <w:pPr>
        <w:spacing w:after="120" w:line="276"/>
      </w:pPr>
      <w:r>
        <w:rPr>
          <w:rFonts w:ascii="Calibri" w:cs="Calibri" w:eastAsia="Calibri" w:hAnsi="Calibri"/>
          <w:b/>
          <w:bCs/>
          <w:sz w:val="22"/>
          <w:szCs w:val="22"/>
        </w:rPr>
        <w:t xml:space="preserve">Decision rule: </w:t>
      </w:r>
      <w:r>
        <w:rPr>
          <w:rFonts w:ascii="Calibri" w:cs="Calibri" w:eastAsia="Calibri" w:hAnsi="Calibri"/>
          <w:sz w:val="22"/>
          <w:szCs w:val="22"/>
        </w:rPr>
        <w:t xml:space="preserve">Reject H₀ if F is larger than the critical value F(α; k − 1, N − k), or equivalently if the p-value is at most α. ANOVA F-tests are always right-tailed.</w:t>
      </w:r>
    </w:p>
    <w:p>
      <w:pPr>
        <w:pStyle w:val="Heading1"/>
        <w:spacing w:after="120" w:before="300"/>
      </w:pPr>
      <w:r>
        <w:rPr>
          <w:rFonts w:ascii="Calibri" w:cs="Calibri" w:eastAsia="Calibri" w:hAnsi="Calibri"/>
          <w:b/>
          <w:bCs/>
          <w:color w:val="1F3864"/>
          <w:sz w:val="30"/>
          <w:szCs w:val="30"/>
        </w:rPr>
        <w:t xml:space="preserve">3. Between-group vs Within-group Variance</w:t>
      </w:r>
    </w:p>
    <w:p>
      <w:pPr>
        <w:spacing w:after="120" w:line="276"/>
      </w:pPr>
      <w:r>
        <w:rPr>
          <w:rFonts w:ascii="Calibri" w:cs="Calibri" w:eastAsia="Calibri" w:hAnsi="Calibri"/>
          <w:sz w:val="22"/>
          <w:szCs w:val="22"/>
        </w:rPr>
        <w:t xml:space="preserve">ANOVA gets its name because it decides whether means differ by comparing two kinds of variance.</w:t>
      </w:r>
    </w:p>
    <w:p>
      <w:pPr>
        <w:pStyle w:val="ListParagraph"/>
        <w:numPr>
          <w:ilvl w:val="0"/>
          <w:numId w:val="2"/>
        </w:numPr>
        <w:spacing w:after="60"/>
      </w:pPr>
      <w:r>
        <w:rPr>
          <w:rFonts w:ascii="Calibri" w:cs="Calibri" w:eastAsia="Calibri" w:hAnsi="Calibri"/>
          <w:b/>
          <w:bCs/>
          <w:sz w:val="22"/>
          <w:szCs w:val="22"/>
        </w:rPr>
        <w:t xml:space="preserve">Between-group variance (MSB): </w:t>
      </w:r>
      <w:r>
        <w:rPr>
          <w:rFonts w:ascii="Calibri" w:cs="Calibri" w:eastAsia="Calibri" w:hAnsi="Calibri"/>
          <w:sz w:val="22"/>
          <w:szCs w:val="22"/>
        </w:rPr>
        <w:t xml:space="preserve">how far the group means are from the grand mean. It reflects real differences between groups plus random noise.</w:t>
      </w:r>
    </w:p>
    <w:p>
      <w:pPr>
        <w:pStyle w:val="ListParagraph"/>
        <w:numPr>
          <w:ilvl w:val="0"/>
          <w:numId w:val="2"/>
        </w:numPr>
        <w:spacing w:after="60"/>
      </w:pPr>
      <w:r>
        <w:rPr>
          <w:rFonts w:ascii="Calibri" w:cs="Calibri" w:eastAsia="Calibri" w:hAnsi="Calibri"/>
          <w:b/>
          <w:bCs/>
          <w:sz w:val="22"/>
          <w:szCs w:val="22"/>
        </w:rPr>
        <w:t xml:space="preserve">Within-group variance (MSW): </w:t>
      </w:r>
      <w:r>
        <w:rPr>
          <w:rFonts w:ascii="Calibri" w:cs="Calibri" w:eastAsia="Calibri" w:hAnsi="Calibri"/>
          <w:sz w:val="22"/>
          <w:szCs w:val="22"/>
        </w:rPr>
        <w:t xml:space="preserve">how much individual values vary around their own group mean. It reflects random noise only.</w:t>
      </w:r>
    </w:p>
    <w:p>
      <w:pPr>
        <w:shd w:fill="EAF0FA" w:val="clear"/>
        <w:spacing w:after="160" w:before="80"/>
        <w:jc w:val="center"/>
      </w:pPr>
      <w:r>
        <w:rPr>
          <w:rFonts w:ascii="Cambria Math" w:cs="Cambria Math" w:eastAsia="Cambria Math" w:hAnsi="Cambria Math"/>
          <w:b/>
          <w:bCs/>
          <w:sz w:val="24"/>
          <w:szCs w:val="24"/>
        </w:rPr>
        <w:t xml:space="preserve">F = Between-group variance / Within-group variance = MSB / MSW</w:t>
      </w:r>
    </w:p>
    <w:p>
      <w:pPr>
        <w:pStyle w:val="ListParagraph"/>
        <w:numPr>
          <w:ilvl w:val="0"/>
          <w:numId w:val="2"/>
        </w:numPr>
        <w:spacing w:after="60"/>
      </w:pPr>
      <w:r>
        <w:rPr>
          <w:rFonts w:ascii="Calibri" w:cs="Calibri" w:eastAsia="Calibri" w:hAnsi="Calibri"/>
          <w:sz w:val="22"/>
          <w:szCs w:val="22"/>
        </w:rPr>
        <w:t xml:space="preserve">If H₀ is true, both estimate the same random noise, so F is close to 1.</w:t>
      </w:r>
    </w:p>
    <w:p>
      <w:pPr>
        <w:pStyle w:val="ListParagraph"/>
        <w:numPr>
          <w:ilvl w:val="0"/>
          <w:numId w:val="2"/>
        </w:numPr>
        <w:spacing w:after="60"/>
      </w:pPr>
      <w:r>
        <w:rPr>
          <w:rFonts w:ascii="Calibri" w:cs="Calibri" w:eastAsia="Calibri" w:hAnsi="Calibri"/>
          <w:sz w:val="22"/>
          <w:szCs w:val="22"/>
        </w:rPr>
        <w:t xml:space="preserve">If the group means really differ, MSB becomes much larger than MSW, so F is large and H₀ is rejected.</w:t>
      </w:r>
    </w:p>
    <w:p>
      <w:pPr>
        <w:pStyle w:val="Heading2"/>
        <w:spacing w:after="80" w:before="180"/>
      </w:pPr>
      <w:r>
        <w:rPr>
          <w:rFonts w:ascii="Calibri" w:cs="Calibri" w:eastAsia="Calibri" w:hAnsi="Calibri"/>
          <w:b/>
          <w:bCs/>
          <w:color w:val="2E5395"/>
          <w:sz w:val="25"/>
          <w:szCs w:val="25"/>
        </w:rPr>
        <w:t xml:space="preserve">3.1 Small worked example</w:t>
      </w:r>
    </w:p>
    <w:p>
      <w:pPr>
        <w:spacing w:after="120" w:line="276"/>
      </w:pPr>
      <w:r>
        <w:rPr>
          <w:rFonts w:ascii="Calibri" w:cs="Calibri" w:eastAsia="Calibri" w:hAnsi="Calibri"/>
          <w:sz w:val="22"/>
          <w:szCs w:val="22"/>
        </w:rPr>
        <w:t xml:space="preserve">Three groups of four observations each: A = 10, 12, 11, 13 (mean 11.5); B = 14, 15, 13, 16 (mean 14.5); C = 18, 17, 19, 20 (mean 18.5). The grand mean is 14.83.</w:t>
      </w:r>
    </w:p>
    <w:p>
      <w:pPr>
        <w:shd w:fill="EAF0FA" w:val="clear"/>
        <w:spacing w:after="160" w:before="80"/>
        <w:jc w:val="center"/>
      </w:pPr>
      <w:r>
        <w:rPr>
          <w:rFonts w:ascii="Cambria Math" w:cs="Cambria Math" w:eastAsia="Cambria Math" w:hAnsi="Cambria Math"/>
          <w:b/>
          <w:bCs/>
          <w:sz w:val="24"/>
          <w:szCs w:val="24"/>
        </w:rPr>
        <w:t xml:space="preserve">SSB = 4[(11.5 − 14.83)² + (14.5 − 14.83)² + (18.5 − 14.83)²] = 98.67</w:t>
      </w:r>
    </w:p>
    <w:p>
      <w:pPr>
        <w:shd w:fill="EAF0FA" w:val="clear"/>
        <w:spacing w:after="160" w:before="80"/>
        <w:jc w:val="center"/>
      </w:pPr>
      <w:r>
        <w:rPr>
          <w:rFonts w:ascii="Cambria Math" w:cs="Cambria Math" w:eastAsia="Cambria Math" w:hAnsi="Cambria Math"/>
          <w:b/>
          <w:bCs/>
          <w:sz w:val="24"/>
          <w:szCs w:val="24"/>
        </w:rPr>
        <w:t xml:space="preserve">SSW = 5 + 5 + 5 = 15</w:t>
      </w:r>
    </w:p>
    <w:p>
      <w:pPr>
        <w:shd w:fill="EAF0FA" w:val="clear"/>
        <w:spacing w:after="160" w:before="80"/>
        <w:jc w:val="center"/>
      </w:pPr>
      <w:r>
        <w:rPr>
          <w:rFonts w:ascii="Cambria Math" w:cs="Cambria Math" w:eastAsia="Cambria Math" w:hAnsi="Cambria Math"/>
          <w:b/>
          <w:bCs/>
          <w:sz w:val="24"/>
          <w:szCs w:val="24"/>
        </w:rPr>
        <w:t xml:space="preserve">MSB = 98.67 / 2 = 49.33,   MSW = 15 / 9 = 1.667,   F = 49.33 / 1.667 = 29.6</w:t>
      </w:r>
    </w:p>
    <w:p>
      <w:pPr>
        <w:spacing w:after="120" w:line="276"/>
      </w:pPr>
      <w:r>
        <w:rPr>
          <w:rFonts w:ascii="Calibri" w:cs="Calibri" w:eastAsia="Calibri" w:hAnsi="Calibri"/>
          <w:sz w:val="22"/>
          <w:szCs w:val="22"/>
        </w:rPr>
        <w:t xml:space="preserve">With df = (2, 9) the p-value is 0.0001, so H₀ is rejected: the group means are not all equal. The groups are well separated compared with the spread inside each group, which gives the large F.</w:t>
      </w:r>
    </w:p>
    <w:p>
      <w:pPr>
        <w:pStyle w:val="Heading1"/>
        <w:spacing w:after="120" w:before="300"/>
      </w:pPr>
      <w:r>
        <w:rPr>
          <w:rFonts w:ascii="Calibri" w:cs="Calibri" w:eastAsia="Calibri" w:hAnsi="Calibri"/>
          <w:b/>
          <w:bCs/>
          <w:color w:val="1F3864"/>
          <w:sz w:val="30"/>
          <w:szCs w:val="30"/>
        </w:rPr>
        <w:t xml:space="preserve">4. Use-case: Comparing the Means of 3 Customer Groups</w:t>
      </w:r>
    </w:p>
    <w:p>
      <w:pPr>
        <w:spacing w:after="120" w:line="276"/>
      </w:pPr>
      <w:r>
        <w:rPr>
          <w:rFonts w:ascii="Calibri" w:cs="Calibri" w:eastAsia="Calibri" w:hAnsi="Calibri"/>
          <w:sz w:val="22"/>
          <w:szCs w:val="22"/>
        </w:rPr>
        <w:t xml:space="preserve">Businesses often split customers into groups and want to know whether the groups behave differently. ANOVA answers this for a numerical measure such as spend, visits or satisfaction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00"/>
      </w:tblGrid>
      <w:tr>
        <w:trPr>
          <w:cantSplit/>
          <w:tblHeader/>
        </w:trPr>
        <w:tc>
          <w:tcPr>
            <w:tcW w:type="dxa" w:w="28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left"/>
            </w:pPr>
            <w:r>
              <w:rPr>
                <w:rFonts w:ascii="Calibri" w:cs="Calibri" w:eastAsia="Calibri" w:hAnsi="Calibri"/>
                <w:b/>
                <w:bCs/>
                <w:color w:val="FFFFFF"/>
                <w:sz w:val="21"/>
                <w:szCs w:val="21"/>
              </w:rPr>
              <w:t xml:space="preserve">Customer groups</w:t>
            </w:r>
          </w:p>
        </w:tc>
        <w:tc>
          <w:tcPr>
            <w:tcW w:type="dxa" w:w="31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Outcome measured</w:t>
            </w:r>
          </w:p>
        </w:tc>
        <w:tc>
          <w:tcPr>
            <w:tcW w:type="dxa" w:w="31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Business decision</w:t>
            </w:r>
          </w:p>
        </w:tc>
      </w:tr>
      <w:tr>
        <w:trPr>
          <w:cantSplit/>
          <w:tblHeader w:val="false"/>
        </w:trPr>
        <w:tc>
          <w:tcPr>
            <w:tcW w:type="dxa" w:w="28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Loyalty tiers (Silver, Gold, Platinum)</w:t>
            </w:r>
          </w:p>
        </w:tc>
        <w:tc>
          <w:tcPr>
            <w:tcW w:type="dxa" w:w="3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Average annual spend</w:t>
            </w:r>
          </w:p>
        </w:tc>
        <w:tc>
          <w:tcPr>
            <w:tcW w:type="dxa" w:w="3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Is the loyalty programme linked to higher spend?</w:t>
            </w:r>
          </w:p>
        </w:tc>
      </w:tr>
      <w:tr>
        <w:trPr>
          <w:cantSplit/>
          <w:tblHeader w:val="false"/>
        </w:trPr>
        <w:tc>
          <w:tcPr>
            <w:tcW w:type="dxa" w:w="28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Age groups (young, middle, senior)</w:t>
            </w:r>
          </w:p>
        </w:tc>
        <w:tc>
          <w:tcPr>
            <w:tcW w:type="dxa" w:w="3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Average purchase value</w:t>
            </w:r>
          </w:p>
        </w:tc>
        <w:tc>
          <w:tcPr>
            <w:tcW w:type="dxa" w:w="3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Which group should a campaign target?</w:t>
            </w:r>
          </w:p>
        </w:tc>
      </w:tr>
      <w:tr>
        <w:trPr>
          <w:cantSplit/>
          <w:tblHeader w:val="false"/>
        </w:trPr>
        <w:tc>
          <w:tcPr>
            <w:tcW w:type="dxa" w:w="28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val="false"/>
              <w:jc w:val="left"/>
            </w:pPr>
            <w:r>
              <w:rPr>
                <w:rFonts w:ascii="Calibri" w:cs="Calibri" w:eastAsia="Calibri" w:hAnsi="Calibri"/>
                <w:b/>
                <w:bCs/>
                <w:color w:val="000000"/>
                <w:sz w:val="21"/>
                <w:szCs w:val="21"/>
              </w:rPr>
              <w:t xml:space="preserve">Acquisition channels (web, app, store)</w:t>
            </w:r>
          </w:p>
        </w:tc>
        <w:tc>
          <w:tcPr>
            <w:tcW w:type="dxa" w:w="3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Average order value</w:t>
            </w:r>
          </w:p>
        </w:tc>
        <w:tc>
          <w:tcPr>
            <w:tcW w:type="dxa" w:w="3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Where should the marketing budget go?</w:t>
            </w:r>
          </w:p>
        </w:tc>
      </w:tr>
    </w:tbl>
    <w:p>
      <w:pPr>
        <w:spacing w:after="120"/>
      </w:pPr>
    </w:p>
    <w:p>
      <w:pPr>
        <w:pStyle w:val="Heading2"/>
        <w:spacing w:after="80" w:before="180"/>
      </w:pPr>
      <w:r>
        <w:rPr>
          <w:rFonts w:ascii="Calibri" w:cs="Calibri" w:eastAsia="Calibri" w:hAnsi="Calibri"/>
          <w:b/>
          <w:bCs/>
          <w:color w:val="2E5395"/>
          <w:sz w:val="25"/>
          <w:szCs w:val="25"/>
        </w:rPr>
        <w:t xml:space="preserve">4.1 Typical workflow</w:t>
      </w:r>
    </w:p>
    <w:p>
      <w:pPr>
        <w:pStyle w:val="ListParagraph"/>
        <w:numPr>
          <w:ilvl w:val="0"/>
          <w:numId w:val="2"/>
        </w:numPr>
        <w:spacing w:after="60"/>
      </w:pPr>
      <w:r>
        <w:rPr>
          <w:rFonts w:ascii="Calibri" w:cs="Calibri" w:eastAsia="Calibri" w:hAnsi="Calibri"/>
          <w:sz w:val="22"/>
          <w:szCs w:val="22"/>
        </w:rPr>
        <w:t xml:space="preserve">State H₀ (all group means equal) and H₁ (at least one differs); choose α = 0.05.</w:t>
      </w:r>
    </w:p>
    <w:p>
      <w:pPr>
        <w:pStyle w:val="ListParagraph"/>
        <w:numPr>
          <w:ilvl w:val="0"/>
          <w:numId w:val="2"/>
        </w:numPr>
        <w:spacing w:after="60"/>
      </w:pPr>
      <w:r>
        <w:rPr>
          <w:rFonts w:ascii="Calibri" w:cs="Calibri" w:eastAsia="Calibri" w:hAnsi="Calibri"/>
          <w:sz w:val="22"/>
          <w:szCs w:val="22"/>
        </w:rPr>
        <w:t xml:space="preserve">Check the assumptions (Levene’s test for equal variances; normality of each group).</w:t>
      </w:r>
    </w:p>
    <w:p>
      <w:pPr>
        <w:pStyle w:val="ListParagraph"/>
        <w:numPr>
          <w:ilvl w:val="0"/>
          <w:numId w:val="2"/>
        </w:numPr>
        <w:spacing w:after="60"/>
      </w:pPr>
      <w:r>
        <w:rPr>
          <w:rFonts w:ascii="Calibri" w:cs="Calibri" w:eastAsia="Calibri" w:hAnsi="Calibri"/>
          <w:sz w:val="22"/>
          <w:szCs w:val="22"/>
        </w:rPr>
        <w:t xml:space="preserve">Run one-way ANOVA and read the F statistic and p-value.</w:t>
      </w:r>
    </w:p>
    <w:p>
      <w:pPr>
        <w:pStyle w:val="ListParagraph"/>
        <w:numPr>
          <w:ilvl w:val="0"/>
          <w:numId w:val="2"/>
        </w:numPr>
        <w:spacing w:after="60"/>
      </w:pPr>
      <w:r>
        <w:rPr>
          <w:rFonts w:ascii="Calibri" w:cs="Calibri" w:eastAsia="Calibri" w:hAnsi="Calibri"/>
          <w:sz w:val="22"/>
          <w:szCs w:val="22"/>
        </w:rPr>
        <w:t xml:space="preserve">If H₀ is rejected, run a post-hoc test such as Tukey’s HSD to find which pairs of groups differ.</w:t>
      </w:r>
    </w:p>
    <w:p>
      <w:pPr>
        <w:pStyle w:val="ListParagraph"/>
        <w:numPr>
          <w:ilvl w:val="0"/>
          <w:numId w:val="2"/>
        </w:numPr>
        <w:spacing w:after="60"/>
      </w:pPr>
      <w:r>
        <w:rPr>
          <w:rFonts w:ascii="Calibri" w:cs="Calibri" w:eastAsia="Calibri" w:hAnsi="Calibri"/>
          <w:sz w:val="22"/>
          <w:szCs w:val="22"/>
        </w:rPr>
        <w:t xml:space="preserve">Report the effect size (eta-squared, η² = SSB / SST) and interpret the result for the business.</w:t>
      </w:r>
    </w:p>
    <w:p>
      <w:pPr>
        <w:pStyle w:val="Heading1"/>
        <w:spacing w:after="120" w:before="300"/>
      </w:pPr>
      <w:r>
        <w:rPr>
          <w:rFonts w:ascii="Calibri" w:cs="Calibri" w:eastAsia="Calibri" w:hAnsi="Calibri"/>
          <w:b/>
          <w:bCs/>
          <w:color w:val="1F3864"/>
          <w:sz w:val="30"/>
          <w:szCs w:val="30"/>
        </w:rPr>
        <w:t xml:space="preserve">5. Demo: Average Purchase Values Across Age Groups</w:t>
      </w:r>
    </w:p>
    <w:p>
      <w:pPr>
        <w:pStyle w:val="Heading2"/>
        <w:keepNext/>
        <w:spacing w:after="80" w:before="180"/>
      </w:pPr>
      <w:r>
        <w:rPr>
          <w:rFonts w:ascii="Calibri" w:cs="Calibri" w:eastAsia="Calibri" w:hAnsi="Calibri"/>
          <w:b/>
          <w:bCs/>
          <w:color w:val="2E5395"/>
          <w:sz w:val="25"/>
          <w:szCs w:val="25"/>
        </w:rPr>
        <w:t xml:space="preserve">5.1 Problem statement</w:t>
      </w:r>
    </w:p>
    <w:p>
      <w:pPr>
        <w:spacing w:after="120" w:line="276"/>
      </w:pPr>
      <w:r>
        <w:rPr>
          <w:rFonts w:ascii="Calibri" w:cs="Calibri" w:eastAsia="Calibri" w:hAnsi="Calibri"/>
          <w:sz w:val="22"/>
          <w:szCs w:val="22"/>
        </w:rPr>
        <w:t xml:space="preserve">A retailer recorded the purchase value (Rs.) of 10 randomly chosen customers in each of three age groups: 18–25, 26–40 and 41 and above. Test whether the average purchase value differs across the age groups. The data are illustrative for this demo.</w:t>
      </w:r>
    </w:p>
    <w:p>
      <w:pPr>
        <w:pStyle w:val="Heading2"/>
        <w:keepNext/>
        <w:spacing w:after="80" w:before="180"/>
      </w:pPr>
      <w:r>
        <w:rPr>
          <w:rFonts w:ascii="Calibri" w:cs="Calibri" w:eastAsia="Calibri" w:hAnsi="Calibri"/>
          <w:b/>
          <w:bCs/>
          <w:color w:val="2E5395"/>
          <w:sz w:val="25"/>
          <w:szCs w:val="25"/>
        </w:rPr>
        <w:t xml:space="preserve">5.2 Hypotheses</w:t>
      </w:r>
    </w:p>
    <w:p>
      <w:pPr>
        <w:pStyle w:val="ListParagraph"/>
        <w:numPr>
          <w:ilvl w:val="0"/>
          <w:numId w:val="2"/>
        </w:numPr>
        <w:spacing w:after="60"/>
      </w:pPr>
      <w:r>
        <w:rPr>
          <w:rFonts w:ascii="Calibri" w:cs="Calibri" w:eastAsia="Calibri" w:hAnsi="Calibri"/>
          <w:b/>
          <w:bCs/>
          <w:sz w:val="22"/>
          <w:szCs w:val="22"/>
        </w:rPr>
        <w:t xml:space="preserve">H₀: </w:t>
      </w:r>
      <w:r>
        <w:rPr>
          <w:rFonts w:ascii="Calibri" w:cs="Calibri" w:eastAsia="Calibri" w:hAnsi="Calibri"/>
          <w:sz w:val="22"/>
          <w:szCs w:val="22"/>
        </w:rPr>
        <w:t xml:space="preserve">μ₁ = μ₂ = μ₃ (average purchase value is the same in all age groups).</w:t>
      </w:r>
    </w:p>
    <w:p>
      <w:pPr>
        <w:pStyle w:val="ListParagraph"/>
        <w:numPr>
          <w:ilvl w:val="0"/>
          <w:numId w:val="2"/>
        </w:numPr>
        <w:spacing w:after="60"/>
      </w:pPr>
      <w:r>
        <w:rPr>
          <w:rFonts w:ascii="Calibri" w:cs="Calibri" w:eastAsia="Calibri" w:hAnsi="Calibri"/>
          <w:b/>
          <w:bCs/>
          <w:sz w:val="22"/>
          <w:szCs w:val="22"/>
        </w:rPr>
        <w:t xml:space="preserve">H₁: </w:t>
      </w:r>
      <w:r>
        <w:rPr>
          <w:rFonts w:ascii="Calibri" w:cs="Calibri" w:eastAsia="Calibri" w:hAnsi="Calibri"/>
          <w:sz w:val="22"/>
          <w:szCs w:val="22"/>
        </w:rPr>
        <w:t xml:space="preserve">at least one age group has a different average purchase value.</w:t>
      </w:r>
    </w:p>
    <w:p>
      <w:pPr>
        <w:spacing w:after="120" w:line="276"/>
      </w:pPr>
      <w:r>
        <w:rPr>
          <w:rFonts w:ascii="Calibri" w:cs="Calibri" w:eastAsia="Calibri" w:hAnsi="Calibri"/>
          <w:sz w:val="22"/>
          <w:szCs w:val="22"/>
        </w:rPr>
        <w:t xml:space="preserve">Significance level: α = 0.05.</w:t>
      </w:r>
    </w:p>
    <w:p>
      <w:pPr>
        <w:pStyle w:val="Heading2"/>
        <w:keepNext/>
        <w:spacing w:after="80" w:before="180"/>
      </w:pPr>
      <w:r>
        <w:rPr>
          <w:rFonts w:ascii="Calibri" w:cs="Calibri" w:eastAsia="Calibri" w:hAnsi="Calibri"/>
          <w:b/>
          <w:bCs/>
          <w:color w:val="2E5395"/>
          <w:sz w:val="25"/>
          <w:szCs w:val="25"/>
        </w:rPr>
        <w:t xml:space="preserve">5.3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00"/>
      </w:tblGrid>
      <w:tr>
        <w:trPr>
          <w:cantSplit/>
          <w:tblHeader/>
        </w:trPr>
        <w:tc>
          <w:tcPr>
            <w:tcW w:type="dxa" w:w="15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left"/>
            </w:pPr>
            <w:r>
              <w:rPr>
                <w:rFonts w:ascii="Calibri" w:cs="Calibri" w:eastAsia="Calibri" w:hAnsi="Calibri"/>
                <w:b/>
                <w:bCs/>
                <w:color w:val="FFFFFF"/>
                <w:sz w:val="21"/>
                <w:szCs w:val="21"/>
              </w:rPr>
              <w:t xml:space="preserve">Customer</w:t>
            </w:r>
          </w:p>
        </w:tc>
        <w:tc>
          <w:tcPr>
            <w:tcW w:type="dxa" w:w="25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18–25</w:t>
            </w:r>
          </w:p>
        </w:tc>
        <w:tc>
          <w:tcPr>
            <w:tcW w:type="dxa" w:w="25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26–40</w:t>
            </w:r>
          </w:p>
        </w:tc>
        <w:tc>
          <w:tcPr>
            <w:tcW w:type="dxa" w:w="25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41+</w:t>
            </w:r>
          </w:p>
        </w:tc>
      </w:tr>
      <w:tr>
        <w:trPr>
          <w:cantSplit/>
          <w:tblHeader w:val="false"/>
        </w:trPr>
        <w:tc>
          <w:tcPr>
            <w:tcW w:type="dxa" w:w="15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1</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420</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510</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455</w:t>
            </w:r>
          </w:p>
        </w:tc>
      </w:tr>
      <w:tr>
        <w:trPr>
          <w:cantSplit/>
          <w:tblHeader w:val="false"/>
        </w:trPr>
        <w:tc>
          <w:tcPr>
            <w:tcW w:type="dxa" w:w="15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2</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380</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470</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430</w:t>
            </w:r>
          </w:p>
        </w:tc>
      </w:tr>
      <w:tr>
        <w:trPr>
          <w:cantSplit/>
          <w:tblHeader w:val="false"/>
        </w:trPr>
        <w:tc>
          <w:tcPr>
            <w:tcW w:type="dxa" w:w="15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3</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450</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560</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480</w:t>
            </w:r>
          </w:p>
        </w:tc>
      </w:tr>
      <w:tr>
        <w:trPr>
          <w:cantSplit/>
          <w:tblHeader w:val="false"/>
        </w:trPr>
        <w:tc>
          <w:tcPr>
            <w:tcW w:type="dxa" w:w="15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4</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400</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495</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445</w:t>
            </w:r>
          </w:p>
        </w:tc>
      </w:tr>
      <w:tr>
        <w:trPr>
          <w:cantSplit/>
          <w:tblHeader w:val="false"/>
        </w:trPr>
        <w:tc>
          <w:tcPr>
            <w:tcW w:type="dxa" w:w="15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5</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430</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535</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470</w:t>
            </w:r>
          </w:p>
        </w:tc>
      </w:tr>
      <w:tr>
        <w:trPr>
          <w:cantSplit/>
          <w:tblHeader w:val="false"/>
        </w:trPr>
        <w:tc>
          <w:tcPr>
            <w:tcW w:type="dxa" w:w="15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6</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390</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480</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420</w:t>
            </w:r>
          </w:p>
        </w:tc>
      </w:tr>
      <w:tr>
        <w:trPr>
          <w:cantSplit/>
          <w:tblHeader w:val="false"/>
        </w:trPr>
        <w:tc>
          <w:tcPr>
            <w:tcW w:type="dxa" w:w="15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7</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410</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525</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465</w:t>
            </w:r>
          </w:p>
        </w:tc>
      </w:tr>
      <w:tr>
        <w:trPr>
          <w:cantSplit/>
          <w:tblHeader w:val="false"/>
        </w:trPr>
        <w:tc>
          <w:tcPr>
            <w:tcW w:type="dxa" w:w="15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8</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440</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545</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440</w:t>
            </w:r>
          </w:p>
        </w:tc>
      </w:tr>
      <w:tr>
        <w:trPr>
          <w:cantSplit/>
          <w:tblHeader w:val="false"/>
        </w:trPr>
        <w:tc>
          <w:tcPr>
            <w:tcW w:type="dxa" w:w="15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9</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370</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465</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415</w:t>
            </w:r>
          </w:p>
        </w:tc>
      </w:tr>
      <w:tr>
        <w:trPr>
          <w:cantSplit/>
          <w:tblHeader w:val="false"/>
        </w:trPr>
        <w:tc>
          <w:tcPr>
            <w:tcW w:type="dxa" w:w="15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10</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460</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555</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485</w:t>
            </w:r>
          </w:p>
        </w:tc>
      </w:tr>
      <w:tr>
        <w:trPr>
          <w:cantSplit/>
          <w:tblHeader w:val="false"/>
        </w:trPr>
        <w:tc>
          <w:tcPr>
            <w:tcW w:type="dxa" w:w="15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Mean</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415.00</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514.00</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450.50</w:t>
            </w:r>
          </w:p>
        </w:tc>
      </w:tr>
      <w:tr>
        <w:trPr>
          <w:cantSplit/>
          <w:tblHeader w:val="false"/>
        </w:trPr>
        <w:tc>
          <w:tcPr>
            <w:tcW w:type="dxa" w:w="15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val="false"/>
              <w:jc w:val="left"/>
            </w:pPr>
            <w:r>
              <w:rPr>
                <w:rFonts w:ascii="Calibri" w:cs="Calibri" w:eastAsia="Calibri" w:hAnsi="Calibri"/>
                <w:b/>
                <w:bCs/>
                <w:color w:val="000000"/>
                <w:sz w:val="21"/>
                <w:szCs w:val="21"/>
              </w:rPr>
              <w:t xml:space="preserve">Std. deviation</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30.28</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35.26</w:t>
            </w:r>
          </w:p>
        </w:tc>
        <w:tc>
          <w:tcPr>
            <w:tcW w:type="dxa" w:w="2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24.55</w:t>
            </w:r>
          </w:p>
        </w:tc>
      </w:tr>
    </w:tbl>
    <w:p>
      <w:pPr>
        <w:spacing w:after="120"/>
      </w:pPr>
    </w:p>
    <w:p>
      <w:pPr>
        <w:spacing w:after="120" w:line="276"/>
      </w:pPr>
      <w:r>
        <w:rPr>
          <w:rFonts w:ascii="Calibri" w:cs="Calibri" w:eastAsia="Calibri" w:hAnsi="Calibri"/>
          <w:sz w:val="22"/>
          <w:szCs w:val="22"/>
        </w:rPr>
        <w:t xml:space="preserve">Grand mean = 459.83. The group means are clearly different, and the group with ages 26–40 spends the most.</w:t>
      </w:r>
    </w:p>
    <w:p>
      <w:pPr>
        <w:pStyle w:val="Heading2"/>
        <w:keepNext/>
        <w:spacing w:after="80" w:before="180"/>
      </w:pPr>
      <w:r>
        <w:rPr>
          <w:rFonts w:ascii="Calibri" w:cs="Calibri" w:eastAsia="Calibri" w:hAnsi="Calibri"/>
          <w:b/>
          <w:bCs/>
          <w:color w:val="2E5395"/>
          <w:sz w:val="25"/>
          <w:szCs w:val="25"/>
        </w:rPr>
        <w:t xml:space="preserve">5.4 Python code</w:t>
      </w:r>
    </w:p>
    <w:p>
      <w:pPr>
        <w:shd w:fill="F2F2F2" w:val="clear"/>
        <w:spacing w:after="0"/>
        <w:ind w:left="200"/>
      </w:pPr>
      <w:r>
        <w:rPr>
          <w:rFonts w:ascii="Consolas" w:cs="Consolas" w:eastAsia="Consolas" w:hAnsi="Consolas"/>
          <w:sz w:val="19"/>
          <w:szCs w:val="19"/>
        </w:rPr>
        <w:t xml:space="preserve">import numpy as np</w:t>
      </w:r>
    </w:p>
    <w:p>
      <w:pPr>
        <w:shd w:fill="F2F2F2" w:val="clear"/>
        <w:spacing w:after="0"/>
        <w:ind w:left="200"/>
      </w:pPr>
      <w:r>
        <w:rPr>
          <w:rFonts w:ascii="Consolas" w:cs="Consolas" w:eastAsia="Consolas" w:hAnsi="Consolas"/>
          <w:sz w:val="19"/>
          <w:szCs w:val="19"/>
        </w:rPr>
        <w:t xml:space="preserve">from scipy import stats</w:t>
      </w:r>
    </w:p>
    <w:p>
      <w:pPr>
        <w:shd w:fill="F2F2F2" w:val="clear"/>
        <w:spacing w:after="0"/>
        <w:ind w:left="200"/>
      </w:pPr>
      <w:r>
        <w:rPr>
          <w:rFonts w:ascii="Consolas" w:cs="Consolas" w:eastAsia="Consolas" w:hAnsi="Consolas"/>
          <w:sz w:val="19"/>
          <w:szCs w:val="19"/>
        </w:rPr>
        <w:t xml:space="preserve"/>
      </w:r>
    </w:p>
    <w:p>
      <w:pPr>
        <w:shd w:fill="F2F2F2" w:val="clear"/>
        <w:spacing w:after="0"/>
        <w:ind w:left="200"/>
      </w:pPr>
      <w:r>
        <w:rPr>
          <w:rFonts w:ascii="Consolas" w:cs="Consolas" w:eastAsia="Consolas" w:hAnsi="Consolas"/>
          <w:sz w:val="19"/>
          <w:szCs w:val="19"/>
        </w:rPr>
        <w:t xml:space="preserve">g1 = [420,380,450,400,430,390,410,440,370,460]   # 18-25</w:t>
      </w:r>
    </w:p>
    <w:p>
      <w:pPr>
        <w:shd w:fill="F2F2F2" w:val="clear"/>
        <w:spacing w:after="0"/>
        <w:ind w:left="200"/>
      </w:pPr>
      <w:r>
        <w:rPr>
          <w:rFonts w:ascii="Consolas" w:cs="Consolas" w:eastAsia="Consolas" w:hAnsi="Consolas"/>
          <w:sz w:val="19"/>
          <w:szCs w:val="19"/>
        </w:rPr>
        <w:t xml:space="preserve">g2 = [510,470,560,495,535,480,525,545,465,555]   # 26-40</w:t>
      </w:r>
    </w:p>
    <w:p>
      <w:pPr>
        <w:shd w:fill="F2F2F2" w:val="clear"/>
        <w:spacing w:after="0"/>
        <w:ind w:left="200"/>
      </w:pPr>
      <w:r>
        <w:rPr>
          <w:rFonts w:ascii="Consolas" w:cs="Consolas" w:eastAsia="Consolas" w:hAnsi="Consolas"/>
          <w:sz w:val="19"/>
          <w:szCs w:val="19"/>
        </w:rPr>
        <w:t xml:space="preserve">g3 = [455,430,480,445,470,420,465,440,415,485]   # 41+</w:t>
      </w:r>
    </w:p>
    <w:p>
      <w:pPr>
        <w:shd w:fill="F2F2F2" w:val="clear"/>
        <w:spacing w:after="0"/>
        <w:ind w:left="200"/>
      </w:pPr>
      <w:r>
        <w:rPr>
          <w:rFonts w:ascii="Consolas" w:cs="Consolas" w:eastAsia="Consolas" w:hAnsi="Consolas"/>
          <w:sz w:val="19"/>
          <w:szCs w:val="19"/>
        </w:rPr>
        <w:t xml:space="preserve"/>
      </w:r>
    </w:p>
    <w:p>
      <w:pPr>
        <w:shd w:fill="F2F2F2" w:val="clear"/>
        <w:spacing w:after="0"/>
        <w:ind w:left="200"/>
      </w:pPr>
      <w:r>
        <w:rPr>
          <w:rFonts w:ascii="Consolas" w:cs="Consolas" w:eastAsia="Consolas" w:hAnsi="Consolas"/>
          <w:sz w:val="19"/>
          <w:szCs w:val="19"/>
        </w:rPr>
        <w:t xml:space="preserve"># One-way ANOVA</w:t>
      </w:r>
    </w:p>
    <w:p>
      <w:pPr>
        <w:shd w:fill="F2F2F2" w:val="clear"/>
        <w:spacing w:after="0"/>
        <w:ind w:left="200"/>
      </w:pPr>
      <w:r>
        <w:rPr>
          <w:rFonts w:ascii="Consolas" w:cs="Consolas" w:eastAsia="Consolas" w:hAnsi="Consolas"/>
          <w:sz w:val="19"/>
          <w:szCs w:val="19"/>
        </w:rPr>
        <w:t xml:space="preserve">F, p = stats.f_oneway(g1, g2, g3)</w:t>
      </w:r>
    </w:p>
    <w:p>
      <w:pPr>
        <w:shd w:fill="F2F2F2" w:val="clear"/>
        <w:spacing w:after="0"/>
        <w:ind w:left="200"/>
      </w:pPr>
      <w:r>
        <w:rPr>
          <w:rFonts w:ascii="Consolas" w:cs="Consolas" w:eastAsia="Consolas" w:hAnsi="Consolas"/>
          <w:sz w:val="19"/>
          <w:szCs w:val="19"/>
        </w:rPr>
        <w:t xml:space="preserve">print('F =', F, ' p =', p)</w:t>
      </w:r>
    </w:p>
    <w:p>
      <w:pPr>
        <w:shd w:fill="F2F2F2" w:val="clear"/>
        <w:spacing w:after="0"/>
        <w:ind w:left="200"/>
      </w:pPr>
      <w:r>
        <w:rPr>
          <w:rFonts w:ascii="Consolas" w:cs="Consolas" w:eastAsia="Consolas" w:hAnsi="Consolas"/>
          <w:sz w:val="19"/>
          <w:szCs w:val="19"/>
        </w:rPr>
        <w:t xml:space="preserve"/>
      </w:r>
    </w:p>
    <w:p>
      <w:pPr>
        <w:shd w:fill="F2F2F2" w:val="clear"/>
        <w:spacing w:after="0"/>
        <w:ind w:left="200"/>
      </w:pPr>
      <w:r>
        <w:rPr>
          <w:rFonts w:ascii="Consolas" w:cs="Consolas" w:eastAsia="Consolas" w:hAnsi="Consolas"/>
          <w:sz w:val="19"/>
          <w:szCs w:val="19"/>
        </w:rPr>
        <w:t xml:space="preserve"># Assumption checks</w:t>
      </w:r>
    </w:p>
    <w:p>
      <w:pPr>
        <w:shd w:fill="F2F2F2" w:val="clear"/>
        <w:spacing w:after="0"/>
        <w:ind w:left="200"/>
      </w:pPr>
      <w:r>
        <w:rPr>
          <w:rFonts w:ascii="Consolas" w:cs="Consolas" w:eastAsia="Consolas" w:hAnsi="Consolas"/>
          <w:sz w:val="19"/>
          <w:szCs w:val="19"/>
        </w:rPr>
        <w:t xml:space="preserve">print('Levene p =', stats.levene(g1, g2, g3).pvalue)</w:t>
      </w:r>
    </w:p>
    <w:p>
      <w:pPr>
        <w:shd w:fill="F2F2F2" w:val="clear"/>
        <w:spacing w:after="0"/>
        <w:ind w:left="200"/>
      </w:pPr>
      <w:r>
        <w:rPr>
          <w:rFonts w:ascii="Consolas" w:cs="Consolas" w:eastAsia="Consolas" w:hAnsi="Consolas"/>
          <w:sz w:val="19"/>
          <w:szCs w:val="19"/>
        </w:rPr>
        <w:t xml:space="preserve">print([stats.shapiro(g).pvalue for g in (g1, g2, g3)])</w:t>
      </w:r>
    </w:p>
    <w:p>
      <w:pPr>
        <w:shd w:fill="F2F2F2" w:val="clear"/>
        <w:spacing w:after="0"/>
        <w:ind w:left="200"/>
      </w:pPr>
      <w:r>
        <w:rPr>
          <w:rFonts w:ascii="Consolas" w:cs="Consolas" w:eastAsia="Consolas" w:hAnsi="Consolas"/>
          <w:sz w:val="19"/>
          <w:szCs w:val="19"/>
        </w:rPr>
        <w:t xml:space="preserve"/>
      </w:r>
    </w:p>
    <w:p>
      <w:pPr>
        <w:shd w:fill="F2F2F2" w:val="clear"/>
        <w:spacing w:after="0"/>
        <w:ind w:left="200"/>
      </w:pPr>
      <w:r>
        <w:rPr>
          <w:rFonts w:ascii="Consolas" w:cs="Consolas" w:eastAsia="Consolas" w:hAnsi="Consolas"/>
          <w:sz w:val="19"/>
          <w:szCs w:val="19"/>
        </w:rPr>
        <w:t xml:space="preserve"># Post-hoc: Tukey HSD</w:t>
      </w:r>
    </w:p>
    <w:p>
      <w:pPr>
        <w:shd w:fill="F2F2F2" w:val="clear"/>
        <w:spacing w:after="0"/>
        <w:ind w:left="200"/>
      </w:pPr>
      <w:r>
        <w:rPr>
          <w:rFonts w:ascii="Consolas" w:cs="Consolas" w:eastAsia="Consolas" w:hAnsi="Consolas"/>
          <w:sz w:val="19"/>
          <w:szCs w:val="19"/>
        </w:rPr>
        <w:t xml:space="preserve">print(stats.tukey_hsd(g1, g2, g3))</w:t>
      </w:r>
    </w:p>
    <w:p>
      <w:pPr>
        <w:spacing w:after="120"/>
      </w:pPr>
    </w:p>
    <w:p>
      <w:pPr>
        <w:pStyle w:val="Heading2"/>
        <w:keepNext/>
        <w:spacing w:after="80" w:before="180"/>
      </w:pPr>
      <w:r>
        <w:rPr>
          <w:rFonts w:ascii="Calibri" w:cs="Calibri" w:eastAsia="Calibri" w:hAnsi="Calibri"/>
          <w:b/>
          <w:bCs/>
          <w:color w:val="2E5395"/>
          <w:sz w:val="25"/>
          <w:szCs w:val="25"/>
        </w:rPr>
        <w:t xml:space="preserve">5.5 ANOVA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1800"/>
        <w:gridCol w:w="1300"/>
        <w:gridCol w:w="1200"/>
      </w:tblGrid>
      <w:tr>
        <w:trPr>
          <w:cantSplit/>
          <w:tblHeader/>
        </w:trPr>
        <w:tc>
          <w:tcPr>
            <w:tcW w:type="dxa" w:w="20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left"/>
            </w:pPr>
            <w:r>
              <w:rPr>
                <w:rFonts w:ascii="Calibri" w:cs="Calibri" w:eastAsia="Calibri" w:hAnsi="Calibri"/>
                <w:b/>
                <w:bCs/>
                <w:color w:val="FFFFFF"/>
                <w:sz w:val="21"/>
                <w:szCs w:val="21"/>
              </w:rPr>
              <w:t xml:space="preserve">Source</w:t>
            </w:r>
          </w:p>
        </w:tc>
        <w:tc>
          <w:tcPr>
            <w:tcW w:type="dxa" w:w="18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Sum of squares</w:t>
            </w:r>
          </w:p>
        </w:tc>
        <w:tc>
          <w:tcPr>
            <w:tcW w:type="dxa" w:w="9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df</w:t>
            </w:r>
          </w:p>
        </w:tc>
        <w:tc>
          <w:tcPr>
            <w:tcW w:type="dxa" w:w="18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Mean square</w:t>
            </w:r>
          </w:p>
        </w:tc>
        <w:tc>
          <w:tcPr>
            <w:tcW w:type="dxa" w:w="13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F</w:t>
            </w:r>
          </w:p>
        </w:tc>
        <w:tc>
          <w:tcPr>
            <w:tcW w:type="dxa" w:w="12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p</w:t>
            </w:r>
          </w:p>
        </w:tc>
      </w:tr>
      <w:tr>
        <w:trPr>
          <w:cantSplit/>
          <w:tblHeader w:val="false"/>
        </w:trPr>
        <w:tc>
          <w:tcPr>
            <w:tcW w:type="dxa" w:w="20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Between groups</w:t>
            </w:r>
          </w:p>
        </w:tc>
        <w:tc>
          <w:tcPr>
            <w:tcW w:type="dxa" w:w="1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50,311.67</w:t>
            </w:r>
          </w:p>
        </w:tc>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2</w:t>
            </w:r>
          </w:p>
        </w:tc>
        <w:tc>
          <w:tcPr>
            <w:tcW w:type="dxa" w:w="1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25,155.83</w:t>
            </w:r>
          </w:p>
        </w:tc>
        <w:tc>
          <w:tcPr>
            <w:tcW w:type="dxa" w:w="1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27.32</w:t>
            </w:r>
          </w:p>
        </w:tc>
        <w:tc>
          <w:tcPr>
            <w:tcW w:type="dxa" w:w="1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&lt; 0.001</w:t>
            </w:r>
          </w:p>
        </w:tc>
      </w:tr>
      <w:tr>
        <w:trPr>
          <w:cantSplit/>
          <w:tblHeader w:val="false"/>
        </w:trPr>
        <w:tc>
          <w:tcPr>
            <w:tcW w:type="dxa" w:w="20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Within groups</w:t>
            </w:r>
          </w:p>
        </w:tc>
        <w:tc>
          <w:tcPr>
            <w:tcW w:type="dxa" w:w="1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24,862.50</w:t>
            </w:r>
          </w:p>
        </w:tc>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27</w:t>
            </w:r>
          </w:p>
        </w:tc>
        <w:tc>
          <w:tcPr>
            <w:tcW w:type="dxa" w:w="1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920.83</w:t>
            </w:r>
          </w:p>
        </w:tc>
        <w:tc>
          <w:tcPr>
            <w:tcW w:type="dxa" w:w="1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
            </w:r>
          </w:p>
        </w:tc>
        <w:tc>
          <w:tcPr>
            <w:tcW w:type="dxa" w:w="1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
            </w:r>
          </w:p>
        </w:tc>
      </w:tr>
      <w:tr>
        <w:trPr>
          <w:cantSplit/>
          <w:tblHeader w:val="false"/>
        </w:trPr>
        <w:tc>
          <w:tcPr>
            <w:tcW w:type="dxa" w:w="20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val="false"/>
              <w:jc w:val="left"/>
            </w:pPr>
            <w:r>
              <w:rPr>
                <w:rFonts w:ascii="Calibri" w:cs="Calibri" w:eastAsia="Calibri" w:hAnsi="Calibri"/>
                <w:b/>
                <w:bCs/>
                <w:color w:val="000000"/>
                <w:sz w:val="21"/>
                <w:szCs w:val="21"/>
              </w:rPr>
              <w:t xml:space="preserve">Total</w:t>
            </w:r>
          </w:p>
        </w:tc>
        <w:tc>
          <w:tcPr>
            <w:tcW w:type="dxa" w:w="1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75,174.17</w:t>
            </w:r>
          </w:p>
        </w:tc>
        <w:tc>
          <w:tcPr>
            <w:tcW w:type="dxa" w:w="9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29</w:t>
            </w:r>
          </w:p>
        </w:tc>
        <w:tc>
          <w:tcPr>
            <w:tcW w:type="dxa" w:w="1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
            </w:r>
          </w:p>
        </w:tc>
        <w:tc>
          <w:tcPr>
            <w:tcW w:type="dxa" w:w="13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
            </w:r>
          </w:p>
        </w:tc>
        <w:tc>
          <w:tcPr>
            <w:tcW w:type="dxa" w:w="12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
            </w:r>
          </w:p>
        </w:tc>
      </w:tr>
    </w:tbl>
    <w:p>
      <w:pPr>
        <w:spacing w:after="120"/>
      </w:pPr>
    </w:p>
    <w:p>
      <w:pPr>
        <w:shd w:fill="EAF0FA" w:val="clear"/>
        <w:spacing w:after="160" w:before="80"/>
        <w:jc w:val="center"/>
      </w:pPr>
      <w:r>
        <w:rPr>
          <w:rFonts w:ascii="Cambria Math" w:cs="Cambria Math" w:eastAsia="Cambria Math" w:hAnsi="Cambria Math"/>
          <w:b/>
          <w:bCs/>
          <w:sz w:val="24"/>
          <w:szCs w:val="24"/>
        </w:rPr>
        <w:t xml:space="preserve">F = MSB / MSW = 25,155.83 / 920.83 = 27.32</w:t>
      </w:r>
    </w:p>
    <w:p>
      <w:pPr>
        <w:spacing w:after="120" w:line="276"/>
      </w:pPr>
      <w:r>
        <w:rPr>
          <w:rFonts w:ascii="Calibri" w:cs="Calibri" w:eastAsia="Calibri" w:hAnsi="Calibri"/>
          <w:sz w:val="22"/>
          <w:szCs w:val="22"/>
        </w:rPr>
        <w:t xml:space="preserve">The critical value is F(0.05; 2, 27) = 3.354 and the exact p-value is about 0.0000003.</w:t>
      </w:r>
    </w:p>
    <w:p>
      <w:pPr>
        <w:keepNext/>
        <w:spacing w:after="60" w:before="120"/>
        <w:jc w:val="center"/>
      </w:pPr>
      <w:r>
        <w:drawing>
          <wp:inline distT="0" distB="0" distL="0" distR="0">
            <wp:extent cx="4000500" cy="2200275"/>
            <wp:effectExtent t="0" r="0" b="0" l="0"/>
            <wp:docPr id="1" name="anova" descr="Box plots of purchase value for three age groups with means marked" title="Purchase value by ag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200275"/>
                    </a:xfrm>
                    <a:prstGeom prst="rect">
                      <a:avLst/>
                    </a:prstGeom>
                  </pic:spPr>
                </pic:pic>
              </a:graphicData>
            </a:graphic>
          </wp:inline>
        </w:drawing>
      </w:r>
    </w:p>
    <w:p>
      <w:pPr>
        <w:spacing w:after="160"/>
        <w:jc w:val="center"/>
      </w:pPr>
      <w:r>
        <w:rPr>
          <w:rFonts w:ascii="Calibri" w:cs="Calibri" w:eastAsia="Calibri" w:hAnsi="Calibri"/>
          <w:i/>
          <w:iCs/>
          <w:color w:val="595959"/>
          <w:sz w:val="19"/>
          <w:szCs w:val="19"/>
        </w:rPr>
        <w:t xml:space="preserve">Figure 1: Purchase value by age group (red dots show group means)</w:t>
      </w:r>
    </w:p>
    <w:p>
      <w:pPr>
        <w:pStyle w:val="Heading2"/>
        <w:keepNext/>
        <w:spacing w:after="80" w:before="180"/>
      </w:pPr>
      <w:r>
        <w:rPr>
          <w:rFonts w:ascii="Calibri" w:cs="Calibri" w:eastAsia="Calibri" w:hAnsi="Calibri"/>
          <w:b/>
          <w:bCs/>
          <w:color w:val="2E5395"/>
          <w:sz w:val="25"/>
          <w:szCs w:val="25"/>
        </w:rPr>
        <w:t xml:space="preserve">5.6 Assumption checks</w:t>
      </w:r>
    </w:p>
    <w:p>
      <w:pPr>
        <w:pStyle w:val="ListParagraph"/>
        <w:numPr>
          <w:ilvl w:val="0"/>
          <w:numId w:val="2"/>
        </w:numPr>
        <w:spacing w:after="60"/>
      </w:pPr>
      <w:r>
        <w:rPr>
          <w:rFonts w:ascii="Calibri" w:cs="Calibri" w:eastAsia="Calibri" w:hAnsi="Calibri"/>
          <w:b/>
          <w:bCs/>
          <w:sz w:val="22"/>
          <w:szCs w:val="22"/>
        </w:rPr>
        <w:t xml:space="preserve">Equal variances: </w:t>
      </w:r>
      <w:r>
        <w:rPr>
          <w:rFonts w:ascii="Calibri" w:cs="Calibri" w:eastAsia="Calibri" w:hAnsi="Calibri"/>
          <w:sz w:val="22"/>
          <w:szCs w:val="22"/>
        </w:rPr>
        <w:t xml:space="preserve">Levene’s test gives p = 0.347, so equal variances are reasonable.</w:t>
      </w:r>
    </w:p>
    <w:p>
      <w:pPr>
        <w:pStyle w:val="ListParagraph"/>
        <w:numPr>
          <w:ilvl w:val="0"/>
          <w:numId w:val="2"/>
        </w:numPr>
        <w:spacing w:after="60"/>
      </w:pPr>
      <w:r>
        <w:rPr>
          <w:rFonts w:ascii="Calibri" w:cs="Calibri" w:eastAsia="Calibri" w:hAnsi="Calibri"/>
          <w:b/>
          <w:bCs/>
          <w:sz w:val="22"/>
          <w:szCs w:val="22"/>
        </w:rPr>
        <w:t xml:space="preserve">Normality: </w:t>
      </w:r>
      <w:r>
        <w:rPr>
          <w:rFonts w:ascii="Calibri" w:cs="Calibri" w:eastAsia="Calibri" w:hAnsi="Calibri"/>
          <w:sz w:val="22"/>
          <w:szCs w:val="22"/>
        </w:rPr>
        <w:t xml:space="preserve">Shapiro–Wilk p-values are 0.89, 0.43 and 0.72 for the three groups, so there is no sign of non-normality.</w:t>
      </w:r>
    </w:p>
    <w:p>
      <w:pPr>
        <w:pStyle w:val="ListParagraph"/>
        <w:numPr>
          <w:ilvl w:val="0"/>
          <w:numId w:val="2"/>
        </w:numPr>
        <w:spacing w:after="60"/>
      </w:pPr>
      <w:r>
        <w:rPr>
          <w:rFonts w:ascii="Calibri" w:cs="Calibri" w:eastAsia="Calibri" w:hAnsi="Calibri"/>
          <w:b/>
          <w:bCs/>
          <w:sz w:val="22"/>
          <w:szCs w:val="22"/>
        </w:rPr>
        <w:t xml:space="preserve">Independence and balance: </w:t>
      </w:r>
      <w:r>
        <w:rPr>
          <w:rFonts w:ascii="Calibri" w:cs="Calibri" w:eastAsia="Calibri" w:hAnsi="Calibri"/>
          <w:sz w:val="22"/>
          <w:szCs w:val="22"/>
        </w:rPr>
        <w:t xml:space="preserve">customers were sampled at random and each group has 10 customers.</w:t>
      </w:r>
    </w:p>
    <w:p>
      <w:pPr>
        <w:pStyle w:val="Heading2"/>
        <w:keepNext/>
        <w:spacing w:after="80" w:before="180"/>
      </w:pPr>
      <w:r>
        <w:rPr>
          <w:rFonts w:ascii="Calibri" w:cs="Calibri" w:eastAsia="Calibri" w:hAnsi="Calibri"/>
          <w:b/>
          <w:bCs/>
          <w:color w:val="2E5395"/>
          <w:sz w:val="25"/>
          <w:szCs w:val="25"/>
        </w:rPr>
        <w:t xml:space="preserve">5.7 Decision</w:t>
      </w:r>
    </w:p>
    <w:p>
      <w:pPr>
        <w:spacing w:after="120" w:line="276"/>
      </w:pPr>
      <w:r>
        <w:rPr>
          <w:rFonts w:ascii="Calibri" w:cs="Calibri" w:eastAsia="Calibri" w:hAnsi="Calibri"/>
          <w:sz w:val="22"/>
          <w:szCs w:val="22"/>
        </w:rPr>
        <w:t xml:space="preserve">Since F = 27.32 is greater than the critical value 3.354 (p &lt; 0.001), we reject H₀. There is strong evidence that average purchase value is not the same in all three age groups.</w:t>
      </w:r>
    </w:p>
    <w:p>
      <w:pPr>
        <w:pStyle w:val="Heading2"/>
        <w:keepNext/>
        <w:spacing w:after="80" w:before="180"/>
      </w:pPr>
      <w:r>
        <w:rPr>
          <w:rFonts w:ascii="Calibri" w:cs="Calibri" w:eastAsia="Calibri" w:hAnsi="Calibri"/>
          <w:b/>
          <w:bCs/>
          <w:color w:val="2E5395"/>
          <w:sz w:val="25"/>
          <w:szCs w:val="25"/>
        </w:rPr>
        <w:t xml:space="preserve">5.8 Post-hoc comparison (Tukey’s HSD)</w:t>
      </w:r>
    </w:p>
    <w:p>
      <w:pPr>
        <w:spacing w:after="120" w:line="276"/>
      </w:pPr>
      <w:r>
        <w:rPr>
          <w:rFonts w:ascii="Calibri" w:cs="Calibri" w:eastAsia="Calibri" w:hAnsi="Calibri"/>
          <w:sz w:val="22"/>
          <w:szCs w:val="22"/>
        </w:rPr>
        <w:t xml:space="preserve">ANOVA shows that some difference exists, but not where. Tukey’s test compares every pair of groups while controlling the overall error rate.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3100"/>
      </w:tblGrid>
      <w:tr>
        <w:trPr>
          <w:cantSplit/>
          <w:tblHeader/>
        </w:trPr>
        <w:tc>
          <w:tcPr>
            <w:tcW w:type="dxa" w:w="27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left"/>
            </w:pPr>
            <w:r>
              <w:rPr>
                <w:rFonts w:ascii="Calibri" w:cs="Calibri" w:eastAsia="Calibri" w:hAnsi="Calibri"/>
                <w:b/>
                <w:bCs/>
                <w:color w:val="FFFFFF"/>
                <w:sz w:val="21"/>
                <w:szCs w:val="21"/>
              </w:rPr>
              <w:t xml:space="preserve">Comparison</w:t>
            </w:r>
          </w:p>
        </w:tc>
        <w:tc>
          <w:tcPr>
            <w:tcW w:type="dxa" w:w="17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Mean difference</w:t>
            </w:r>
          </w:p>
        </w:tc>
        <w:tc>
          <w:tcPr>
            <w:tcW w:type="dxa" w:w="15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p-value</w:t>
            </w:r>
          </w:p>
        </w:tc>
        <w:tc>
          <w:tcPr>
            <w:tcW w:type="dxa" w:w="31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95% CI for the difference</w:t>
            </w:r>
          </w:p>
        </w:tc>
      </w:tr>
      <w:tr>
        <w:trPr>
          <w:cantSplit/>
          <w:tblHeader w:val="false"/>
        </w:trPr>
        <w:tc>
          <w:tcPr>
            <w:tcW w:type="dxa" w:w="27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26–40 vs 18–25</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+99.0</w:t>
            </w:r>
          </w:p>
        </w:tc>
        <w:tc>
          <w:tcPr>
            <w:tcW w:type="dxa" w:w="1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&lt; 0.001</w:t>
            </w:r>
          </w:p>
        </w:tc>
        <w:tc>
          <w:tcPr>
            <w:tcW w:type="dxa" w:w="3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(65.35, 132.65)</w:t>
            </w:r>
          </w:p>
        </w:tc>
      </w:tr>
      <w:tr>
        <w:trPr>
          <w:cantSplit/>
          <w:tblHeader w:val="false"/>
        </w:trPr>
        <w:tc>
          <w:tcPr>
            <w:tcW w:type="dxa" w:w="27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41+ vs 18–25</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+35.5</w:t>
            </w:r>
          </w:p>
        </w:tc>
        <w:tc>
          <w:tcPr>
            <w:tcW w:type="dxa" w:w="1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0.037</w:t>
            </w:r>
          </w:p>
        </w:tc>
        <w:tc>
          <w:tcPr>
            <w:tcW w:type="dxa" w:w="3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(1.85, 69.15)</w:t>
            </w:r>
          </w:p>
        </w:tc>
      </w:tr>
      <w:tr>
        <w:trPr>
          <w:cantSplit/>
          <w:tblHeader w:val="false"/>
        </w:trPr>
        <w:tc>
          <w:tcPr>
            <w:tcW w:type="dxa" w:w="27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val="false"/>
              <w:jc w:val="left"/>
            </w:pPr>
            <w:r>
              <w:rPr>
                <w:rFonts w:ascii="Calibri" w:cs="Calibri" w:eastAsia="Calibri" w:hAnsi="Calibri"/>
                <w:b/>
                <w:bCs/>
                <w:color w:val="000000"/>
                <w:sz w:val="21"/>
                <w:szCs w:val="21"/>
              </w:rPr>
              <w:t xml:space="preserve">26–40 vs 41+</w:t>
            </w:r>
          </w:p>
        </w:tc>
        <w:tc>
          <w:tcPr>
            <w:tcW w:type="dxa" w:w="17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+63.5</w:t>
            </w:r>
          </w:p>
        </w:tc>
        <w:tc>
          <w:tcPr>
            <w:tcW w:type="dxa" w:w="15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&lt; 0.001</w:t>
            </w:r>
          </w:p>
        </w:tc>
        <w:tc>
          <w:tcPr>
            <w:tcW w:type="dxa" w:w="31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(29.85, 97.15)</w:t>
            </w:r>
          </w:p>
        </w:tc>
      </w:tr>
    </w:tbl>
    <w:p>
      <w:pPr>
        <w:spacing w:after="120"/>
      </w:pPr>
    </w:p>
    <w:p>
      <w:pPr>
        <w:spacing w:after="120" w:line="276"/>
      </w:pPr>
      <w:r>
        <w:rPr>
          <w:rFonts w:ascii="Calibri" w:cs="Calibri" w:eastAsia="Calibri" w:hAnsi="Calibri"/>
          <w:sz w:val="22"/>
          <w:szCs w:val="22"/>
        </w:rPr>
        <w:t xml:space="preserve">All three pairs differ significantly at the 5% level. The 26–40 group spends the most, the 41+ group is in the middle and the 18–25 group spends the least.</w:t>
      </w:r>
    </w:p>
    <w:p>
      <w:pPr>
        <w:pStyle w:val="Heading2"/>
        <w:keepNext/>
        <w:spacing w:after="80" w:before="180"/>
      </w:pPr>
      <w:r>
        <w:rPr>
          <w:rFonts w:ascii="Calibri" w:cs="Calibri" w:eastAsia="Calibri" w:hAnsi="Calibri"/>
          <w:b/>
          <w:bCs/>
          <w:color w:val="2E5395"/>
          <w:sz w:val="25"/>
          <w:szCs w:val="25"/>
        </w:rPr>
        <w:t xml:space="preserve">5.9 Effect size</w:t>
      </w:r>
    </w:p>
    <w:p>
      <w:pPr>
        <w:shd w:fill="EAF0FA" w:val="clear"/>
        <w:spacing w:after="160" w:before="80"/>
        <w:jc w:val="center"/>
      </w:pPr>
      <w:r>
        <w:rPr>
          <w:rFonts w:ascii="Cambria Math" w:cs="Cambria Math" w:eastAsia="Cambria Math" w:hAnsi="Cambria Math"/>
          <w:b/>
          <w:bCs/>
          <w:sz w:val="24"/>
          <w:szCs w:val="24"/>
        </w:rPr>
        <w:t xml:space="preserve">η² = SSB / SST = 50,311.67 / 75,174.17 = 0.669</w:t>
      </w:r>
    </w:p>
    <w:p>
      <w:pPr>
        <w:spacing w:after="120" w:line="276"/>
      </w:pPr>
      <w:r>
        <w:rPr>
          <w:rFonts w:ascii="Calibri" w:cs="Calibri" w:eastAsia="Calibri" w:hAnsi="Calibri"/>
          <w:sz w:val="22"/>
          <w:szCs w:val="22"/>
        </w:rPr>
        <w:t xml:space="preserve">About 67% of the variation in purchase value is explained by age group, which is a large effect.</w:t>
      </w:r>
    </w:p>
    <w:p>
      <w:pPr>
        <w:pStyle w:val="Heading2"/>
        <w:keepNext/>
        <w:spacing w:after="80" w:before="180"/>
      </w:pPr>
      <w:r>
        <w:rPr>
          <w:rFonts w:ascii="Calibri" w:cs="Calibri" w:eastAsia="Calibri" w:hAnsi="Calibri"/>
          <w:b/>
          <w:bCs/>
          <w:color w:val="2E5395"/>
          <w:sz w:val="25"/>
          <w:szCs w:val="25"/>
        </w:rPr>
        <w:t xml:space="preserve">5.10 Conclusion</w:t>
      </w:r>
    </w:p>
    <w:p>
      <w:pPr>
        <w:spacing w:after="120" w:line="276"/>
      </w:pPr>
      <w:r>
        <w:rPr>
          <w:rFonts w:ascii="Calibri" w:cs="Calibri" w:eastAsia="Calibri" w:hAnsi="Calibri"/>
          <w:sz w:val="22"/>
          <w:szCs w:val="22"/>
        </w:rPr>
        <w:t xml:space="preserve">The average purchase value differs significantly across age groups (F(2, 27) = 27.32, p &lt; 0.001, η² = 0.67). Customers aged 26–40 spend about Rs. 514 on average, compared with Rs. 450 for those aged 41 and above and Rs. 415 for those aged 18–25. The retailer could focus premium offers on the 26–40 group and use targeted promotions to raise the spend of the youngest group.</w:t>
      </w:r>
    </w:p>
    <w:p>
      <w:pPr>
        <w:spacing w:after="120" w:line="276"/>
      </w:pPr>
      <w:r>
        <w:rPr>
          <w:rFonts w:ascii="Calibri" w:cs="Calibri" w:eastAsia="Calibri" w:hAnsi="Calibri"/>
          <w:b/>
          <w:bCs/>
          <w:sz w:val="22"/>
          <w:szCs w:val="22"/>
        </w:rPr>
        <w:t xml:space="preserve">Note: </w:t>
      </w:r>
      <w:r>
        <w:rPr>
          <w:rFonts w:ascii="Calibri" w:cs="Calibri" w:eastAsia="Calibri" w:hAnsi="Calibri"/>
          <w:sz w:val="22"/>
          <w:szCs w:val="22"/>
        </w:rPr>
        <w:t xml:space="preserve">ANOVA shows that the means differ, not why. Other factors such as income or product category may also influence purchase value.</w:t>
      </w:r>
    </w:p>
    <w:p>
      <w:pPr>
        <w:pStyle w:val="Heading1"/>
        <w:spacing w:after="120" w:before="300"/>
      </w:pPr>
      <w:r>
        <w:rPr>
          <w:rFonts w:ascii="Calibri" w:cs="Calibri" w:eastAsia="Calibri" w:hAnsi="Calibri"/>
          <w:b/>
          <w:bCs/>
          <w:color w:val="1F3864"/>
          <w:sz w:val="30"/>
          <w:szCs w:val="30"/>
        </w:rPr>
        <w:t xml:space="preserve">6. Formula Cheat Sheet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cantSplit/>
          <w:tblHeader/>
        </w:trPr>
        <w:tc>
          <w:tcPr>
            <w:tcW w:type="dxa" w:w="32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left"/>
            </w:pPr>
            <w:r>
              <w:rPr>
                <w:rFonts w:ascii="Calibri" w:cs="Calibri" w:eastAsia="Calibri" w:hAnsi="Calibri"/>
                <w:b/>
                <w:bCs/>
                <w:color w:val="FFFFFF"/>
                <w:sz w:val="21"/>
                <w:szCs w:val="21"/>
              </w:rPr>
              <w:t xml:space="preserve">Concept</w:t>
            </w:r>
          </w:p>
        </w:tc>
        <w:tc>
          <w:tcPr>
            <w:tcW w:type="dxa" w:w="5800"/>
            <w:tcBorders>
              <w:top w:val="single" w:color="8EA9DB" w:sz="4"/>
              <w:left w:val="single" w:color="8EA9DB" w:sz="4"/>
              <w:bottom w:val="single" w:color="8EA9DB" w:sz="4"/>
              <w:right w:val="single" w:color="8EA9DB" w:sz="4"/>
            </w:tcBorders>
            <w:shd w:fill="1F3864" w:val="clear"/>
            <w:tcMar>
              <w:top w:type="dxa" w:w="70"/>
              <w:left w:type="dxa" w:w="110"/>
              <w:bottom w:type="dxa" w:w="70"/>
              <w:right w:type="dxa" w:w="110"/>
            </w:tcMar>
          </w:tcPr>
          <w:p>
            <w:pPr>
              <w:keepNext/>
              <w:jc w:val="center"/>
            </w:pPr>
            <w:r>
              <w:rPr>
                <w:rFonts w:ascii="Calibri" w:cs="Calibri" w:eastAsia="Calibri" w:hAnsi="Calibri"/>
                <w:b/>
                <w:bCs/>
                <w:color w:val="FFFFFF"/>
                <w:sz w:val="21"/>
                <w:szCs w:val="21"/>
              </w:rPr>
              <w:t xml:space="preserve">Formula</w:t>
            </w:r>
          </w:p>
        </w:tc>
      </w:tr>
      <w:tr>
        <w:trPr>
          <w:cantSplit/>
          <w:tblHeader w:val="false"/>
        </w:trPr>
        <w:tc>
          <w:tcPr>
            <w:tcW w:type="dxa" w:w="32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Between-group SS</w:t>
            </w:r>
          </w:p>
        </w:tc>
        <w:tc>
          <w:tcPr>
            <w:tcW w:type="dxa" w:w="5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SSB = Σ nᵢ (X̅ᵢ − X̅)²</w:t>
            </w:r>
          </w:p>
        </w:tc>
      </w:tr>
      <w:tr>
        <w:trPr>
          <w:cantSplit/>
          <w:tblHeader w:val="false"/>
        </w:trPr>
        <w:tc>
          <w:tcPr>
            <w:tcW w:type="dxa" w:w="32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Within-group SS</w:t>
            </w:r>
          </w:p>
        </w:tc>
        <w:tc>
          <w:tcPr>
            <w:tcW w:type="dxa" w:w="5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SSW = Σ Σ (Xᵢⱼ − X̅ᵢ)²</w:t>
            </w:r>
          </w:p>
        </w:tc>
      </w:tr>
      <w:tr>
        <w:trPr>
          <w:cantSplit/>
          <w:tblHeader w:val="false"/>
        </w:trPr>
        <w:tc>
          <w:tcPr>
            <w:tcW w:type="dxa" w:w="32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Total SS</w:t>
            </w:r>
          </w:p>
        </w:tc>
        <w:tc>
          <w:tcPr>
            <w:tcW w:type="dxa" w:w="5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SST = SSB + SSW</w:t>
            </w:r>
          </w:p>
        </w:tc>
      </w:tr>
      <w:tr>
        <w:trPr>
          <w:cantSplit/>
          <w:tblHeader w:val="false"/>
        </w:trPr>
        <w:tc>
          <w:tcPr>
            <w:tcW w:type="dxa" w:w="32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Degrees of freedom</w:t>
            </w:r>
          </w:p>
        </w:tc>
        <w:tc>
          <w:tcPr>
            <w:tcW w:type="dxa" w:w="5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k − 1 (between), N − k (within), N − 1 (total)</w:t>
            </w:r>
          </w:p>
        </w:tc>
      </w:tr>
      <w:tr>
        <w:trPr>
          <w:cantSplit/>
          <w:tblHeader w:val="false"/>
        </w:trPr>
        <w:tc>
          <w:tcPr>
            <w:tcW w:type="dxa" w:w="32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Mean squares</w:t>
            </w:r>
          </w:p>
        </w:tc>
        <w:tc>
          <w:tcPr>
            <w:tcW w:type="dxa" w:w="5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MSB = SSB / (k − 1),  MSW = SSW / (N − k)</w:t>
            </w:r>
          </w:p>
        </w:tc>
      </w:tr>
      <w:tr>
        <w:trPr>
          <w:cantSplit/>
          <w:tblHeader w:val="false"/>
        </w:trPr>
        <w:tc>
          <w:tcPr>
            <w:tcW w:type="dxa" w:w="32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F statistic</w:t>
            </w:r>
          </w:p>
        </w:tc>
        <w:tc>
          <w:tcPr>
            <w:tcW w:type="dxa" w:w="5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F = MSB / MSW</w:t>
            </w:r>
          </w:p>
        </w:tc>
      </w:tr>
      <w:tr>
        <w:trPr>
          <w:cantSplit/>
          <w:tblHeader w:val="false"/>
        </w:trPr>
        <w:tc>
          <w:tcPr>
            <w:tcW w:type="dxa" w:w="32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jc w:val="left"/>
            </w:pPr>
            <w:r>
              <w:rPr>
                <w:rFonts w:ascii="Calibri" w:cs="Calibri" w:eastAsia="Calibri" w:hAnsi="Calibri"/>
                <w:b/>
                <w:bCs/>
                <w:color w:val="000000"/>
                <w:sz w:val="21"/>
                <w:szCs w:val="21"/>
              </w:rPr>
              <w:t xml:space="preserve">Effect size</w:t>
            </w:r>
          </w:p>
        </w:tc>
        <w:tc>
          <w:tcPr>
            <w:tcW w:type="dxa" w:w="5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1"/>
                <w:szCs w:val="21"/>
              </w:rPr>
              <w:t xml:space="preserve">η² = SSB / SST</w:t>
            </w:r>
          </w:p>
        </w:tc>
      </w:tr>
      <w:tr>
        <w:trPr>
          <w:cantSplit/>
          <w:tblHeader w:val="false"/>
        </w:trPr>
        <w:tc>
          <w:tcPr>
            <w:tcW w:type="dxa" w:w="3200"/>
            <w:tcBorders>
              <w:top w:val="single" w:color="8EA9DB" w:sz="4"/>
              <w:left w:val="single" w:color="8EA9DB" w:sz="4"/>
              <w:bottom w:val="single" w:color="8EA9DB" w:sz="4"/>
              <w:right w:val="single" w:color="8EA9DB" w:sz="4"/>
            </w:tcBorders>
            <w:shd w:fill="EAF0FA" w:val="clear"/>
            <w:tcMar>
              <w:top w:type="dxa" w:w="70"/>
              <w:left w:type="dxa" w:w="110"/>
              <w:bottom w:type="dxa" w:w="70"/>
              <w:right w:type="dxa" w:w="110"/>
            </w:tcMar>
          </w:tcPr>
          <w:p>
            <w:pPr>
              <w:keepNext w:val="false"/>
              <w:jc w:val="left"/>
            </w:pPr>
            <w:r>
              <w:rPr>
                <w:rFonts w:ascii="Calibri" w:cs="Calibri" w:eastAsia="Calibri" w:hAnsi="Calibri"/>
                <w:b/>
                <w:bCs/>
                <w:color w:val="000000"/>
                <w:sz w:val="21"/>
                <w:szCs w:val="21"/>
              </w:rPr>
              <w:t xml:space="preserve">Decision rule</w:t>
            </w:r>
          </w:p>
        </w:tc>
        <w:tc>
          <w:tcPr>
            <w:tcW w:type="dxa" w:w="5800"/>
            <w:tcBorders>
              <w:top w:val="single" w:color="8EA9DB" w:sz="4"/>
              <w:left w:val="single" w:color="8EA9DB" w:sz="4"/>
              <w:bottom w:val="single" w:color="8EA9DB" w:sz="4"/>
              <w:right w:val="single" w:color="8EA9DB" w:sz="4"/>
            </w:tcBorders>
            <w:tcMar>
              <w:top w:type="dxa" w:w="70"/>
              <w:left w:type="dxa" w:w="110"/>
              <w:bottom w:type="dxa" w:w="70"/>
              <w:right w:type="dxa" w:w="110"/>
            </w:tcMar>
          </w:tcPr>
          <w:p>
            <w:pPr>
              <w:keepNext w:val="false"/>
              <w:jc w:val="center"/>
            </w:pPr>
            <w:r>
              <w:rPr>
                <w:rFonts w:ascii="Calibri" w:cs="Calibri" w:eastAsia="Calibri" w:hAnsi="Calibri"/>
                <w:b/>
                <w:bCs/>
                <w:color w:val="000000"/>
                <w:sz w:val="21"/>
                <w:szCs w:val="21"/>
              </w:rPr>
              <w:t xml:space="preserve">Reject H₀ if F &gt; critical value (or p ≤ α)</w:t>
            </w:r>
          </w:p>
        </w:tc>
      </w:tr>
    </w:tbl>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709cf5efca272821b7e532a68ddc34c888dcd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2026-10-22T08:14:41.625Z</dcterms:created>
  <dcterms:modified xsi:type="dcterms:W3CDTF">2026-10-22T08:14:41.626Z</dcterms:modified>
</cp:coreProperties>
</file>

<file path=docProps/custom.xml><?xml version="1.0" encoding="utf-8"?>
<Properties xmlns="http://schemas.openxmlformats.org/officeDocument/2006/custom-properties" xmlns:vt="http://schemas.openxmlformats.org/officeDocument/2006/docPropsVTypes"/>
</file>