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pPr>
      <w:r>
        <w:t>BinVision Project Brief</w:t>
      </w:r>
    </w:p>
    <w:p>
      <w:pPr>
        <w:spacing w:after="100"/>
      </w:pPr>
      <w:r>
        <w:rPr>
          <w:b/>
          <w:color w:val="0D705B"/>
          <w:sz w:val="18"/>
        </w:rPr>
        <w:t>PS-1B  |  AI-Driven Waste Classification &amp; Recycling Pipeline  |  Climate &amp; Environment</w:t>
      </w:r>
    </w:p>
    <w:p>
      <w:pPr>
        <w:spacing w:after="100"/>
      </w:pPr>
      <w:r>
        <w:t>BinVision is a software platform that analyzes waste images, identifies detected items, assigns each item to Recyclable, Organic, or Hazardous, and presents confidence scores and bounding boxes. It helps users understand sorting decisions and provides a foundation for waste-analysis insights.</w:t>
      </w:r>
    </w:p>
    <w:p>
      <w:pPr>
        <w:pStyle w:val="Heading1"/>
      </w:pPr>
      <w:r>
        <w:t>The challenge</w:t>
      </w:r>
    </w:p>
    <w:p>
      <w:r>
        <w:t>Mixed materials are difficult to identify consistently. Incorrect sorting can contaminate recyclable material, while hazardous items may be handled without clear guidance. Visual feedback can help users make more informed decisions.</w:t>
      </w:r>
    </w:p>
    <w:p>
      <w:pPr>
        <w:pStyle w:val="Heading1"/>
      </w:pPr>
      <w:r>
        <w:t>How the product works</w:t>
      </w:r>
    </w:p>
    <w:p>
      <w:r>
        <w:t>Upload an image, preview it, and start analysis. BinVision returns detected item names, one of three waste categories, confidence values, bounding boxes, category counts, total detections, and average confidence. Results feed the dashboard and analytics view. The BinVision AI assistant can answer questions using the current structured detection context.</w:t>
      </w:r>
    </w:p>
    <w:p>
      <w:pPr>
        <w:pStyle w:val="Heading1"/>
      </w:pPr>
      <w:r>
        <w:t>Product and technical design</w:t>
      </w:r>
    </w:p>
    <w:p>
      <w:r>
        <w:t>The React and TypeScript interface uses a shared WasteAnalysisResponse contract. The analysis integration boundary is FastAPI POST /api/analyze with a YOLO model adapter and category mapping. The assistant uses FastAPI POST /api/chat and Groq. The Groq API key stays server-side.</w:t>
      </w:r>
    </w:p>
    <w:p>
      <w:pPr>
        <w:pStyle w:val="Heading1"/>
      </w:pPr>
      <w:r>
        <w:t>Current demo state</w:t>
      </w:r>
    </w:p>
    <w:p>
      <w:r>
        <w:t>The frontend defaults to a mock detection provider. Its session history and analytics are local browser demo data. The standardized API route and model adapter provide the integration path; final model outputs require validation before being presented as real detection results. Assistant UI and backend chat integration are documented and use structured context when configured.</w:t>
      </w:r>
    </w:p>
    <w:p>
      <w:pPr>
        <w:pStyle w:val="Heading1"/>
      </w:pPr>
      <w:r>
        <w:t>Potential value and next steps</w:t>
      </w:r>
    </w:p>
    <w:p>
      <w:r>
        <w:t>BinVision could improve waste-identification awareness, support cleaner recycling streams, and make hazardous-item guidance easier to access. Next steps include connecting and validating final model outputs, expanding reviewed waste classes, localizing disposal guidance, and exploring institutional analytics. These are potential outcomes; the project has not measured physical diversion or waste tonnage.</w:t>
      </w:r>
    </w:p>
    <w:p>
      <w:pPr>
        <w:pStyle w:val="Heading1"/>
      </w:pPr>
      <w:r>
        <w:t>Team and demo</w:t>
      </w:r>
    </w:p>
    <w:tbl>
      <w:tblPr>
        <w:tblW w:type="auto" w:w="0"/>
        <w:tblLayout w:type="fixed"/>
        <w:tblLook w:firstColumn="1" w:firstRow="1" w:lastColumn="0" w:lastRow="0" w:noHBand="0" w:noVBand="1" w:val="04A0"/>
      </w:tblPr>
      <w:tblGrid>
        <w:gridCol w:w="2232"/>
        <w:gridCol w:w="8136"/>
      </w:tblGrid>
      <w:tr>
        <w:tc>
          <w:tcPr>
            <w:tcW w:type="dxa" w:w="2232"/>
            <w:shd w:fill="EAF3F2"/>
          </w:tcPr>
          <w:p>
            <w:pPr>
              <w:spacing w:after="0"/>
            </w:pPr>
            <w:r>
              <w:rPr>
                <w:rFonts w:ascii="Aptos" w:hAnsi="Aptos"/>
                <w:b/>
                <w:color w:val="0D705B"/>
                <w:sz w:val="16"/>
              </w:rPr>
              <w:t>Team</w:t>
            </w:r>
          </w:p>
        </w:tc>
        <w:tc>
          <w:tcPr>
            <w:tcW w:type="dxa" w:w="8136"/>
            <w:shd w:fill="F4F7FA"/>
          </w:tcPr>
          <w:p>
            <w:pPr>
              <w:spacing w:after="0"/>
            </w:pPr>
            <w:r>
              <w:rPr>
                <w:rFonts w:ascii="Aptos" w:hAnsi="Aptos"/>
                <w:b w:val="0"/>
                <w:color w:val="2D3D4E"/>
                <w:sz w:val="16"/>
              </w:rPr>
              <w:t>[TEAM NAME]  |  [MEMBER 1]  |  [MEMBER 2]  |  [MEMBER 3]</w:t>
            </w:r>
          </w:p>
        </w:tc>
      </w:tr>
      <w:tr>
        <w:tc>
          <w:tcPr>
            <w:tcW w:type="dxa" w:w="2232"/>
            <w:shd w:fill="EAF3F2"/>
          </w:tcPr>
          <w:p>
            <w:pPr>
              <w:spacing w:after="0"/>
            </w:pPr>
            <w:r>
              <w:rPr>
                <w:rFonts w:ascii="Aptos" w:hAnsi="Aptos"/>
                <w:b/>
                <w:color w:val="0D705B"/>
                <w:sz w:val="16"/>
              </w:rPr>
              <w:t>Links</w:t>
            </w:r>
          </w:p>
        </w:tc>
        <w:tc>
          <w:tcPr>
            <w:tcW w:type="dxa" w:w="8136"/>
            <w:shd w:fill="F4F7FA"/>
          </w:tcPr>
          <w:p>
            <w:pPr>
              <w:spacing w:after="0"/>
            </w:pPr>
            <w:r>
              <w:rPr>
                <w:rFonts w:ascii="Aptos" w:hAnsi="Aptos"/>
                <w:b w:val="0"/>
                <w:color w:val="2D3D4E"/>
                <w:sz w:val="16"/>
              </w:rPr>
              <w:t>Demo: [ADD URL]  |  GitHub: [ADD URL]</w:t>
            </w:r>
          </w:p>
        </w:tc>
      </w:tr>
    </w:tbl>
    <w:sectPr w:rsidR="00FC693F" w:rsidRPr="0006063C" w:rsidSect="00034616">
      <w:pgSz w:w="12240" w:h="15840"/>
      <w:pgMar w:top="691" w:right="922" w:bottom="691" w:left="9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color w:val="2D3D4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60"/>
      <w:outlineLvl w:val="0"/>
    </w:pPr>
    <w:rPr>
      <w:rFonts w:asciiTheme="majorHAnsi" w:eastAsiaTheme="majorEastAsia" w:hAnsiTheme="majorHAnsi" w:cstheme="majorBidi" w:ascii="Aptos" w:hAnsi="Aptos"/>
      <w:b/>
      <w:bCs/>
      <w:color w:val="0D705B"/>
      <w:sz w:val="26"/>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ptos" w:hAnsi="Aptos"/>
      <w:b/>
      <w:bCs/>
      <w:color w:val="0F1F3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80"/>
      <w:contextualSpacing/>
    </w:pPr>
    <w:rPr>
      <w:rFonts w:asciiTheme="majorHAnsi" w:eastAsiaTheme="majorEastAsia" w:hAnsiTheme="majorHAnsi" w:cstheme="majorBidi" w:ascii="Aptos Display" w:hAnsi="Aptos Display"/>
      <w:b/>
      <w:color w:val="0F1F3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