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2024 Quarterly Business Review — Meridian Financial</w:t>
      </w:r>
    </w:p>
    <w:p>
      <w:r>
        <w:t>Date: 2024-09-10  |  Format: Video call  |  Prepared by: Elena Martinez, VP Customer Success</w:t>
      </w:r>
    </w:p>
    <w:p>
      <w:pPr>
        <w:pStyle w:val="Heading1"/>
      </w:pPr>
      <w:r>
        <w:t>Attendees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Company</w:t>
            </w:r>
          </w:p>
        </w:tc>
      </w:tr>
      <w:tr>
        <w:tc>
          <w:tcPr>
            <w:tcW w:type="dxa" w:w="2880"/>
          </w:tcPr>
          <w:p>
            <w:r>
              <w:t>Sarah Chen</w:t>
            </w:r>
          </w:p>
        </w:tc>
        <w:tc>
          <w:tcPr>
            <w:tcW w:type="dxa" w:w="2880"/>
          </w:tcPr>
          <w:p>
            <w:r>
              <w:t>Chief Technology Officer</w:t>
            </w:r>
          </w:p>
        </w:tc>
        <w:tc>
          <w:tcPr>
            <w:tcW w:type="dxa" w:w="2880"/>
          </w:tcPr>
          <w:p>
            <w:r>
              <w:t>Meridian Financial</w:t>
            </w:r>
          </w:p>
        </w:tc>
      </w:tr>
      <w:tr>
        <w:tc>
          <w:tcPr>
            <w:tcW w:type="dxa" w:w="2880"/>
          </w:tcPr>
          <w:p>
            <w:r>
              <w:t>Mike Rodriguez</w:t>
            </w:r>
          </w:p>
        </w:tc>
        <w:tc>
          <w:tcPr>
            <w:tcW w:type="dxa" w:w="2880"/>
          </w:tcPr>
          <w:p>
            <w:r>
              <w:t>Head of Data Platform</w:t>
            </w:r>
          </w:p>
        </w:tc>
        <w:tc>
          <w:tcPr>
            <w:tcW w:type="dxa" w:w="2880"/>
          </w:tcPr>
          <w:p>
            <w:r>
              <w:t>Meridian Financial</w:t>
            </w:r>
          </w:p>
        </w:tc>
      </w:tr>
      <w:tr>
        <w:tc>
          <w:tcPr>
            <w:tcW w:type="dxa" w:w="2880"/>
          </w:tcPr>
          <w:p>
            <w:r>
              <w:t>Priya Desai</w:t>
            </w:r>
          </w:p>
        </w:tc>
        <w:tc>
          <w:tcPr>
            <w:tcW w:type="dxa" w:w="2880"/>
          </w:tcPr>
          <w:p>
            <w:r>
              <w:t>Analytics Lead</w:t>
            </w:r>
          </w:p>
        </w:tc>
        <w:tc>
          <w:tcPr>
            <w:tcW w:type="dxa" w:w="2880"/>
          </w:tcPr>
          <w:p>
            <w:r>
              <w:t>Meridian Financial</w:t>
            </w:r>
          </w:p>
        </w:tc>
      </w:tr>
      <w:tr>
        <w:tc>
          <w:tcPr>
            <w:tcW w:type="dxa" w:w="2880"/>
          </w:tcPr>
          <w:p>
            <w:r>
              <w:t>David Park</w:t>
            </w:r>
          </w:p>
        </w:tc>
        <w:tc>
          <w:tcPr>
            <w:tcW w:type="dxa" w:w="2880"/>
          </w:tcPr>
          <w:p>
            <w:r>
              <w:t>Forward Deployed Engineer</w:t>
            </w:r>
          </w:p>
        </w:tc>
        <w:tc>
          <w:tcPr>
            <w:tcW w:type="dxa" w:w="2880"/>
          </w:tcPr>
          <w:p>
            <w:r>
              <w:t>Orion Analytics</w:t>
            </w:r>
          </w:p>
        </w:tc>
      </w:tr>
      <w:tr>
        <w:tc>
          <w:tcPr>
            <w:tcW w:type="dxa" w:w="2880"/>
          </w:tcPr>
          <w:p>
            <w:r>
              <w:t>Elena Martinez</w:t>
            </w:r>
          </w:p>
        </w:tc>
        <w:tc>
          <w:tcPr>
            <w:tcW w:type="dxa" w:w="2880"/>
          </w:tcPr>
          <w:p>
            <w:r>
              <w:t>VP Customer Success</w:t>
            </w:r>
          </w:p>
        </w:tc>
        <w:tc>
          <w:tcPr>
            <w:tcW w:type="dxa" w:w="2880"/>
          </w:tcPr>
          <w:p>
            <w:r>
              <w:t>Orion Analytics</w:t>
            </w:r>
          </w:p>
        </w:tc>
      </w:tr>
    </w:tbl>
    <w:p>
      <w:pPr>
        <w:pStyle w:val="Heading1"/>
      </w:pPr>
      <w:r>
        <w:t>Account Health</w:t>
      </w:r>
    </w:p>
    <w:p>
      <w:pPr>
        <w:pStyle w:val="Heading2"/>
      </w:pPr>
      <w:r>
        <w:t>Seat Utilization</w:t>
      </w:r>
    </w:p>
    <w:p>
      <w:r>
        <w:t>Meridian currently has 41 of 50 contracted analyst seats active, distributed across four offices: 14 in New York City, 11 in Denver, 9 in Seattle, and 7 in Los Angeles. Seat utilization is at 82%, which is within the healthy range but approaching the ceiling of the contracted allocation.</w:t>
      </w:r>
    </w:p>
    <w:p>
      <w:r>
        <w:t>Priya Desai indicated that the team expects to request 20 to 30 additional seats by the end of Q1 2025 as the Denver and Seattle offices grow. At the contracted overage rate of $180 per seat per month, 25 additional seats would add $4,500 to the monthly bill, and 30 additional seats would add $5,400. Sarah Chen confirmed Q1 2025 as the likely timing for a formal expansion request.</w:t>
      </w:r>
    </w:p>
    <w:p>
      <w:pPr>
        <w:pStyle w:val="Heading2"/>
      </w:pPr>
      <w:r>
        <w:t>Platform Adoption</w:t>
      </w:r>
    </w:p>
    <w:p>
      <w:r>
        <w:t>The regulatory reporting workflow is used daily by all 41 active analysts and is the primary driver of platform value for Meridian. Customer segmentation is used by 12 of 41 seats, predominantly in the NYC office. Real-time transaction analytics is used by only 3 analysts. Priya Desai noted that low adoption of the analytics feature is due to a missing Snowflake export format — the team requested a Parquet-compatible schema in Q2 and the request is still open with the Orion product team.</w:t>
      </w:r>
    </w:p>
    <w:p>
      <w:pPr>
        <w:pStyle w:val="Heading2"/>
      </w:pPr>
      <w:r>
        <w:t>Event Volume</w:t>
      </w:r>
    </w:p>
    <w:p>
      <w:r>
        <w:t>Current ingest is approximately 4,200 events per second on average, peaking at 6,800 during market open between 09:30 and 10:00 ET. On a monthly basis Meridian is ingesting approximately 142 million events against a contracted limit of 200 million events per month, leaving 29% headroom before overage charges apply. Overage is billed at $0.08 per 10,000 events above the 200 million threshold. If the planned seat expansion proceeds and analyst activity increases proportionally, monthly event volume could approach 170-180 million events, still within the contracted limit.</w:t>
      </w:r>
    </w:p>
    <w:p>
      <w:pPr>
        <w:pStyle w:val="Heading1"/>
      </w:pPr>
      <w:r>
        <w:t>Open Issues and Action Items</w:t>
      </w:r>
    </w:p>
    <w:p>
      <w:pPr>
        <w:pStyle w:val="Heading2"/>
      </w:pPr>
      <w:r>
        <w:t>Login Latency (TICK-4521)</w:t>
      </w:r>
    </w:p>
    <w:p>
      <w:r>
        <w:t>Meridian is experiencing elevated login latency for analyst seats. P95 login time has degraded from approximately 800ms to approximately 2,400ms over a three-week window ending September 14. The degradation is worst in west coast offices (Denver, Seattle, LA) during the 09:00-10:00 ET window. Root cause identified: the load balancer sticky-session rule pins users to a backend node that saturates under Meridian's bursty morning traffic before the 15-minute rebalance window expires.</w:t>
      </w:r>
    </w:p>
    <w:p>
      <w:r>
        <w:t>David Park committed to delivering a production fix by September 25, 2024, with daily status updates to Sarah Chen until the fix ships. The fix reduces the sticky-session timeout from 15 minutes to 3 minutes and adds a CPU-pressure trigger to force-evict idle sessions when node CPU exceeds 80%. Staging validation is scheduled for September 20 with Mike Rodriguez's team observing.</w:t>
      </w:r>
    </w:p>
    <w:p>
      <w:pPr>
        <w:pStyle w:val="Heading2"/>
      </w:pPr>
      <w:r>
        <w:t>EU Region Availability</w:t>
      </w:r>
    </w:p>
    <w:p>
      <w:r>
        <w:t>Elena Martinez confirmed the GA target for the eu-west-2 region is April 2025. If Meridian's UK subsidiary launches in Q2 2025, they would be right at the edge of Orion's regional availability. Elena noted the risk of slippage is moderate, based on prior region launch history, and declined to make a firm commitment.</w:t>
      </w:r>
    </w:p>
    <w:p>
      <w:r>
        <w:t>David Park agreed to produce a UK contingency feasibility document by October 31, 2024. The document will cover the architecture for running UK operations on us-east-2 during any gap before eu-west-2 GA, including a data replication pipeline, latency tradeoffs for UK users, and estimated additional infrastructure cost. Sarah Chen stated she needs options, not just the primary plan.</w:t>
      </w:r>
    </w:p>
    <w:p>
      <w:pPr>
        <w:pStyle w:val="Heading2"/>
      </w:pPr>
      <w:r>
        <w:t>Action Items</w:t>
      </w:r>
    </w:p>
    <w:p>
      <w:pPr>
        <w:pStyle w:val="ListNumber"/>
      </w:pPr>
      <w:r>
        <w:t>1. David Park: deliver login latency production fix by 2024-09-25 with daily status updates to Sarah Chen</w:t>
      </w:r>
    </w:p>
    <w:p>
      <w:pPr>
        <w:pStyle w:val="ListNumber"/>
      </w:pPr>
      <w:r>
        <w:t>2. David Park: deliver UK contingency feasibility document by 2024-10-31</w:t>
      </w:r>
    </w:p>
    <w:p>
      <w:pPr>
        <w:pStyle w:val="ListNumber"/>
      </w:pPr>
      <w:r>
        <w:t>3. Elena Martinez: deliver expanded seat count proposal with pricing for 20-30 additional seats by 2024-11-15</w:t>
      </w:r>
    </w:p>
    <w:p>
      <w:pPr>
        <w:pStyle w:val="ListNumber"/>
      </w:pPr>
      <w:r>
        <w:t>4. Priya Desai: provide Snowflake export format specification to Orion product team by 2024-09-30</w:t>
      </w:r>
    </w:p>
    <w:p>
      <w:pPr>
        <w:pStyle w:val="Heading1"/>
      </w:pPr>
      <w:r>
        <w:t>Expansion Opportunities</w:t>
      </w:r>
    </w:p>
    <w:p>
      <w:pPr>
        <w:pStyle w:val="Heading2"/>
      </w:pPr>
      <w:r>
        <w:t>Seat Expansion</w:t>
      </w:r>
    </w:p>
    <w:p>
      <w:r>
        <w:t>Current seat utilization of 82% (41 of 50) is at the low end of the upsell window for enterprise SaaS accounts. Industry benchmarks suggest 80-90% utilization signals imminent expansion demand. Meridian's Denver and Seattle teams are growing and are the primary driver of the expected Q1 2025 expansion request.</w:t>
      </w:r>
    </w:p>
    <w:p>
      <w:r>
        <w:t>A 25-seat expansion at $180 per seat per month generates $4,500 per month in incremental revenue, or $54,000 annualized. A 30-seat expansion generates $5,400 per month, or $64,800 annualized. Sarah Chen indicated the ask is likely 20 to 30 additional seats, with the final number depending on hiring pace in the west coast offices.</w:t>
      </w:r>
    </w:p>
    <w:p>
      <w:pPr>
        <w:pStyle w:val="Heading2"/>
      </w:pPr>
      <w:r>
        <w:t>Reranker Upgrade</w:t>
      </w:r>
    </w:p>
    <w:p>
      <w:r>
        <w:t>Meridian's tenant has the cross-encoder reranker disabled, which is the default for the Enterprise tier. Enabling the reranker has shown a measured 12% improvement in recall@5 on Meridian's document corpus in September benchmarking. The reranker is included in the Enterprise tier at no additional charge and can be enabled with a single configuration change. David Park recommends enabling it before the UK launch to ensure retrieval quality across a larger multi-region document corpus.</w:t>
      </w:r>
    </w:p>
    <w:p>
      <w:pPr>
        <w:pStyle w:val="Heading2"/>
      </w:pPr>
      <w:r>
        <w:t>EU Region Launch</w:t>
      </w:r>
    </w:p>
    <w:p>
      <w:r>
        <w:t>When eu-west-2 reaches GA in April 2025, Meridian would be an early adopter. Adding one additional region costs $4,000 per month per the SOW Section 5.2 overage terms. For the UK subsidiary launch this would add $4,000 per month to the platform fee, bringing the total to $32,000 per month before any seat expansion. If the 25-seat expansion also proceeds, the total monthly fee would be $36,500.</w:t>
      </w:r>
    </w:p>
    <w:p>
      <w:pPr>
        <w:pStyle w:val="Heading1"/>
      </w:pPr>
      <w:r>
        <w:t>Risk Assessment</w:t>
      </w:r>
    </w:p>
    <w:p>
      <w:pPr>
        <w:pStyle w:val="Heading2"/>
      </w:pPr>
      <w:r>
        <w:t>Login Latency Risk</w:t>
      </w:r>
    </w:p>
    <w:p>
      <w:r>
        <w:t>The login latency issue (TICK-4521) represents the most acute risk to the account. Sarah Chen's CFO has directly questioned the $28,000 per month platform fee given the degradation. A slip past the September 25 production fix deadline will trigger executive escalation and materially increase renewal risk ahead of the 2026-06-30 contract expiry. The account health score has been downgraded from Green to Amber by the CS team pending resolution. If the fix ships by September 25 and the QBR action items are completed on schedule, the account is expected to return to Green in October.</w:t>
      </w:r>
    </w:p>
    <w:p>
      <w:pPr>
        <w:pStyle w:val="Heading2"/>
      </w:pPr>
      <w:r>
        <w:t>Salesforce Connector Risk</w:t>
      </w:r>
    </w:p>
    <w:p>
      <w:r>
        <w:t>The Salesforce connector v2.4.1 has a documented bulk update limit of 50,000 records per hour. Meridian's current volume is approximately 12,000 records per hour, well within the limit. However, if the planned seat expansion proceeds and analyst activity increases event output by 40-50%, volume could approach 17,000-18,000 records per hour. This is still within the v2.4.1 limit, but the trend should be monitored monthly via the sfdc_bulk_throughput dashboard.</w:t>
      </w:r>
    </w:p>
    <w:p>
      <w:r>
        <w:t>The v3.x Salesforce connector, which removes the bulk update limit entirely, is targeted for availability in Q1 2025. David Park recommends planning the connector migration alongside the seat expansion to avoid approaching the v2.4.1 ceiling. Migration is a configuration change and does not require a maintenance window.</w:t>
      </w:r>
    </w:p>
    <w:p>
      <w:pPr>
        <w:pStyle w:val="Heading2"/>
      </w:pPr>
      <w:r>
        <w:t>Plaid Schema Migration Risk</w:t>
      </w:r>
    </w:p>
    <w:p>
      <w:r>
        <w:t>Plaid has announced end-of-life for schema v3.2.1 in Q2 2025. Orion's v4.0 connector support is targeted for Q1 2025. If the v4.0 connector slips past Q1, Meridian will be operating on a deprecated schema with no upgrade path during a window that coincides with the planned UK subsidiary launch. This is rated as a medium risk. Mitigation: Meridian has requested early beta access to the v4.0 connector (TICK-4702) and should plan to begin the migration process in January 2025 regardless of GA status, using the compatibility shim as a fallback. The five-step migration process is documented in the Orion Integration Guide Section 4.1.</w:t>
      </w:r>
    </w:p>
    <w:p>
      <w:pPr>
        <w:pStyle w:val="Heading2"/>
      </w:pPr>
      <w:r>
        <w:t>EU Region Availability Risk</w:t>
      </w:r>
    </w:p>
    <w:p>
      <w:r>
        <w:t>The eu-west-2 GA target of April 2025 carries moderate slippage risk, as acknowledged by Elena Martinez on the September 15 call. Meridian's UK subsidiary is planning a Q2 2025 launch, leaving minimal buffer if the region slips. The contingency plan — running UK operations on us-east-2 with a data replication pipe — introduces latency for UK users and may have compliance implications under UK GDPR regarding data residency. David Park will produce a feasibility document covering these tradeoffs by October 31. The compliance question has been flagged to the Orion legal team for review.</w:t>
      </w:r>
    </w:p>
    <w:p>
      <w:pPr>
        <w:pStyle w:val="Heading1"/>
      </w:pPr>
      <w:r>
        <w:t>Historical Performance Review</w:t>
      </w:r>
    </w:p>
    <w:p>
      <w:pPr>
        <w:pStyle w:val="Heading2"/>
      </w:pPr>
      <w:r>
        <w:t>Q1 2024 Performance</w:t>
      </w:r>
    </w:p>
    <w:p>
      <w:r>
        <w:t>Q1 2024 was Meridian's first full quarter on the Orion platform following the Q3 2023 onboarding and Q4 2023 pilot. The platform processed 118 million events in Q1, below the 200 million monthly average limit and well within contracted capacity. Auth p95 latency averaged 790ms across the quarter, consistent with the SLA target. The regulatory reporting workflow was deployed in February 2024 following two weeks of UAT with Priya Desai's team. No P0 incidents were recorded in Q1. One P1 incident (TICK-4389) related to a Snowflake export delay was resolved within the 1-business-day SLA.</w:t>
      </w:r>
    </w:p>
    <w:p>
      <w:pPr>
        <w:pStyle w:val="Heading2"/>
      </w:pPr>
      <w:r>
        <w:t>Q2 2024 Performance</w:t>
      </w:r>
    </w:p>
    <w:p>
      <w:r>
        <w:t>Q2 2024 saw the highest event volume to date: 138 million events in April, 141 million in May, and 144 million in June, reflecting growth in Meridian's customer base and increased analyst adoption of the regulatory reporting workflow. Seat utilization grew from 74% (37 of 50 seats) at the start of Q2 to 80% (40 of 50 seats) by end of June. The customer segmentation workflow was enabled for the NYC analyst team in May. No P0 incidents occurred in Q2. The duplicate invoice incident (TICK-4602) was resolved in September 2024 but its root cause — a Stripe webhook replay — originated from a billing cycle processed in Q2; the hotfix was deployed retroactively. Auth p95 latency remained below 850ms throughout Q2.</w:t>
      </w:r>
    </w:p>
    <w:p>
      <w:pPr>
        <w:pStyle w:val="Heading2"/>
      </w:pPr>
      <w:r>
        <w:t>Q3 2024 Performance (through September 14)</w:t>
      </w:r>
    </w:p>
    <w:p>
      <w:r>
        <w:t>Q3 2024 introduced the first significant operational challenge: the login latency degradation documented in TICK-4521, which began September 3 and remained open at the time of the QBR on September 10. Event volume for July was 140 million and for August was 142 million, continuing the growth trend. The duplicate invoice incident (TICK-4602) was discovered and resolved on September 1. At the time of the QBR, 41 of 50 analyst seats are active (82% utilization). The Snowflake export workflow is operating within the 8-minute lag SLA. The Salesforce sync is running at 12,000 records per hour, well within the v2.4.1 50,000 records per hour limit.</w:t>
      </w:r>
    </w:p>
    <w:p>
      <w:pPr>
        <w:pStyle w:val="Heading1"/>
      </w:pPr>
      <w:r>
        <w:t>Financial Analysis</w:t>
      </w:r>
    </w:p>
    <w:p>
      <w:pPr>
        <w:pStyle w:val="Heading2"/>
      </w:pPr>
      <w:r>
        <w:t>Current Monthly Spend</w:t>
      </w:r>
    </w:p>
    <w:tbl>
      <w:tblPr>
        <w:tblStyle w:val="TableGrid"/>
        <w:tblW w:type="auto" w:w="0"/>
        <w:tblLook w:firstColumn="1" w:firstRow="1" w:lastColumn="0" w:lastRow="0" w:noHBand="0" w:noVBand="1" w:val="04A0"/>
      </w:tblPr>
      <w:tblGrid>
        <w:gridCol w:w="2880"/>
        <w:gridCol w:w="2880"/>
        <w:gridCol w:w="2880"/>
      </w:tblGrid>
      <w:tr>
        <w:tc>
          <w:tcPr>
            <w:tcW w:type="dxa" w:w="2880"/>
          </w:tcPr>
          <w:p>
            <w:r>
              <w:t>Line Item</w:t>
            </w:r>
          </w:p>
        </w:tc>
        <w:tc>
          <w:tcPr>
            <w:tcW w:type="dxa" w:w="2880"/>
          </w:tcPr>
          <w:p>
            <w:r>
              <w:t>Monthly Amount</w:t>
            </w:r>
          </w:p>
        </w:tc>
        <w:tc>
          <w:tcPr>
            <w:tcW w:type="dxa" w:w="2880"/>
          </w:tcPr>
          <w:p>
            <w:r>
              <w:t>Notes</w:t>
            </w:r>
          </w:p>
        </w:tc>
      </w:tr>
      <w:tr>
        <w:tc>
          <w:tcPr>
            <w:tcW w:type="dxa" w:w="2880"/>
          </w:tcPr>
          <w:p>
            <w:r>
              <w:t>Base platform fee (Enterprise)</w:t>
            </w:r>
          </w:p>
        </w:tc>
        <w:tc>
          <w:tcPr>
            <w:tcW w:type="dxa" w:w="2880"/>
          </w:tcPr>
          <w:p>
            <w:r>
              <w:t>$28,000</w:t>
            </w:r>
          </w:p>
        </w:tc>
        <w:tc>
          <w:tcPr>
            <w:tcW w:type="dxa" w:w="2880"/>
          </w:tcPr>
          <w:p>
            <w:r>
              <w:t>50 seats, 200M events</w:t>
            </w:r>
          </w:p>
        </w:tc>
      </w:tr>
      <w:tr>
        <w:tc>
          <w:tcPr>
            <w:tcW w:type="dxa" w:w="2880"/>
          </w:tcPr>
          <w:p>
            <w:r>
              <w:t>Professional services (FDE hours)</w:t>
            </w:r>
          </w:p>
        </w:tc>
        <w:tc>
          <w:tcPr>
            <w:tcW w:type="dxa" w:w="2880"/>
          </w:tcPr>
          <w:p>
            <w:r>
              <w:t>Included</w:t>
            </w:r>
          </w:p>
        </w:tc>
        <w:tc>
          <w:tcPr>
            <w:tcW w:type="dxa" w:w="2880"/>
          </w:tcPr>
          <w:p>
            <w:r>
              <w:t>20 hrs/mo included per SOW 5.3</w:t>
            </w:r>
          </w:p>
        </w:tc>
      </w:tr>
      <w:tr>
        <w:tc>
          <w:tcPr>
            <w:tcW w:type="dxa" w:w="2880"/>
          </w:tcPr>
          <w:p>
            <w:r>
              <w:t>Overage events</w:t>
            </w:r>
          </w:p>
        </w:tc>
        <w:tc>
          <w:tcPr>
            <w:tcW w:type="dxa" w:w="2880"/>
          </w:tcPr>
          <w:p>
            <w:r>
              <w:t>$0</w:t>
            </w:r>
          </w:p>
        </w:tc>
        <w:tc>
          <w:tcPr>
            <w:tcW w:type="dxa" w:w="2880"/>
          </w:tcPr>
          <w:p>
            <w:r>
              <w:t>142M of 200M limit used</w:t>
            </w:r>
          </w:p>
        </w:tc>
      </w:tr>
      <w:tr>
        <w:tc>
          <w:tcPr>
            <w:tcW w:type="dxa" w:w="2880"/>
          </w:tcPr>
          <w:p>
            <w:r>
              <w:t>Additional regions</w:t>
            </w:r>
          </w:p>
        </w:tc>
        <w:tc>
          <w:tcPr>
            <w:tcW w:type="dxa" w:w="2880"/>
          </w:tcPr>
          <w:p>
            <w:r>
              <w:t>$0</w:t>
            </w:r>
          </w:p>
        </w:tc>
        <w:tc>
          <w:tcPr>
            <w:tcW w:type="dxa" w:w="2880"/>
          </w:tcPr>
          <w:p>
            <w:r>
              <w:t>Only us-east-2 + us-west-2 DR</w:t>
            </w:r>
          </w:p>
        </w:tc>
      </w:tr>
      <w:tr>
        <w:tc>
          <w:tcPr>
            <w:tcW w:type="dxa" w:w="2880"/>
          </w:tcPr>
          <w:p>
            <w:r>
              <w:t>Total current monthly</w:t>
            </w:r>
          </w:p>
        </w:tc>
        <w:tc>
          <w:tcPr>
            <w:tcW w:type="dxa" w:w="2880"/>
          </w:tcPr>
          <w:p>
            <w:r>
              <w:t>$28,000</w:t>
            </w:r>
          </w:p>
        </w:tc>
        <w:tc>
          <w:tcPr>
            <w:tcW w:type="dxa" w:w="2880"/>
          </w:tcPr>
          <w:p>
            <w:r/>
          </w:p>
        </w:tc>
      </w:tr>
    </w:tbl>
    <w:p>
      <w:pPr>
        <w:pStyle w:val="Heading2"/>
      </w:pPr>
      <w:r>
        <w:t>Projected Monthly Spend After Expansion</w:t>
      </w:r>
    </w:p>
    <w:p>
      <w:r>
        <w:t>If Meridian proceeds with the planned 25-seat expansion and adds the eu-west-2 region for the UK subsidiary launch, the new monthly fee structure would be as follows. The base platform fee remains $28,000. The 25 additional analyst seats at $180 per seat per month add $4,500 to the monthly total. The eu-west-2 region adds $4,000 per month per SOW Section 5.2. The combined total would be $36,500 per month, representing a 30.4% increase over the current fee. Annualized, this is $438,000 compared to the current $336,000. The seat expansion alone (without EU region) would be $32,500 per month. The EU region alone (without seat expansion) would be $32,000 per month. Elena Martinez will provide a formal expansion proposal with final pricing by November 15.</w:t>
      </w:r>
    </w:p>
    <w:p>
      <w:pPr>
        <w:pStyle w:val="Heading2"/>
      </w:pPr>
      <w:r>
        <w:t>Return on Investment Analysis</w:t>
      </w:r>
    </w:p>
    <w:p>
      <w:r>
        <w:t>Meridian's finance team conducted an informal ROI analysis at the 12-month mark (August 2024). The regulatory reporting workflow has reduced the time for Meridian's compliance team to produce weekly regulatory reports from 3.5 analyst-days to 0.5 analyst-days, a saving of approximately 3 analyst-days per week across 41 analysts. At Meridian's loaded analyst cost of $220 per hour, this represents approximately $132,000 per month in labor cost avoidance — more than 4x the monthly platform fee. The customer segmentation workflow adopted by 12 NYC analysts has contributed to a measurable improvement in targeted campaign conversion rates, though the finance team has not yet formally quantified this contribution. The ROI analysis supports the planned seat expansion and reinforces Meridian's intent to renew at the 2026-06-30 expiry date, subject to resolution of the current operational issues.</w:t>
      </w:r>
    </w:p>
    <w:p>
      <w:pPr>
        <w:pStyle w:val="Heading1"/>
      </w:pPr>
      <w:r>
        <w:t>Q4 2024 and Q1 2025 Planning</w:t>
      </w:r>
    </w:p>
    <w:p>
      <w:pPr>
        <w:pStyle w:val="Heading2"/>
      </w:pPr>
      <w:r>
        <w:t>Priority Actions Q4 2024</w:t>
      </w:r>
    </w:p>
    <w:p>
      <w:pPr>
        <w:pStyle w:val="ListNumber"/>
      </w:pPr>
      <w:r>
        <w:t>1. Close TICK-4521 (login latency fix) by September 25 — David Park leading</w:t>
      </w:r>
    </w:p>
    <w:p>
      <w:pPr>
        <w:pStyle w:val="ListNumber"/>
      </w:pPr>
      <w:r>
        <w:t>2. Deliver UK contingency feasibility document by October 31 — David Park</w:t>
      </w:r>
    </w:p>
    <w:p>
      <w:pPr>
        <w:pStyle w:val="ListNumber"/>
      </w:pPr>
      <w:r>
        <w:t>3. Deliver seat expansion proposal with pricing by November 15 — Elena Martinez</w:t>
      </w:r>
    </w:p>
    <w:p>
      <w:pPr>
        <w:pStyle w:val="ListNumber"/>
      </w:pPr>
      <w:r>
        <w:t>4. Deliver Snowflake export format specification to Orion product team by September 30 — Priya Desai</w:t>
      </w:r>
    </w:p>
    <w:p>
      <w:pPr>
        <w:pStyle w:val="ListNumber"/>
      </w:pPr>
      <w:r>
        <w:t>5. Schedule Plaid v4.0 migration planning session with Priya Desai and Orion product team — October or November</w:t>
      </w:r>
    </w:p>
    <w:p>
      <w:pPr>
        <w:pStyle w:val="ListNumber"/>
      </w:pPr>
      <w:r>
        <w:t>6. Confirm EU region (eu-west-2) GA date by end of Q4 — Elena Martinez to track</w:t>
      </w:r>
    </w:p>
    <w:p>
      <w:pPr>
        <w:pStyle w:val="Heading2"/>
      </w:pPr>
      <w:r>
        <w:t>Priority Actions Q1 2025</w:t>
      </w:r>
    </w:p>
    <w:p>
      <w:pPr>
        <w:pStyle w:val="ListNumber"/>
      </w:pPr>
      <w:r>
        <w:t>1. Execute 25-seat expansion (target January 2025) — Elena Martinez to contract, David Park to provision</w:t>
      </w:r>
    </w:p>
    <w:p>
      <w:pPr>
        <w:pStyle w:val="ListNumber"/>
      </w:pPr>
      <w:r>
        <w:t>2. Begin Plaid v3.2.1 to v4.0 migration (target January 2025 start) — Priya Desai leading</w:t>
      </w:r>
    </w:p>
    <w:p>
      <w:pPr>
        <w:pStyle w:val="ListNumber"/>
      </w:pPr>
      <w:r>
        <w:t>3. Upgrade Salesforce connector from v2.4.1 to v3.x (target February 2025) — David Park</w:t>
      </w:r>
    </w:p>
    <w:p>
      <w:pPr>
        <w:pStyle w:val="ListNumber"/>
      </w:pPr>
      <w:r>
        <w:t>4. Enable cross-encoder reranker for Meridian tenant (target post-latency-fix) — David Park</w:t>
      </w:r>
    </w:p>
    <w:p>
      <w:pPr>
        <w:pStyle w:val="ListNumber"/>
      </w:pPr>
      <w:r>
        <w:t>5. Prepare for eu-west-2 launch (target April 2025 GA) — David Park and Elena Martinez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