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D7A75252">
      <w:pPr>
        <w:pStyle w:val="style0"/>
        <w:spacing w:after="100"/>
        <w:jc w:val="center"/>
        <w:rPr/>
      </w:pPr>
      <w:r>
        <w:rPr>
          <w:rFonts w:ascii="Times New Roman" w:cs="Times New Roman" w:eastAsia="Times New Roman" w:hAnsi="Times New Roman"/>
          <w:b/>
          <w:bCs/>
          <w:color w:val="1f3864"/>
          <w:sz w:val="34"/>
          <w:szCs w:val="34"/>
        </w:rPr>
        <w:t>Research Paper Review / Literature Survey</w:t>
      </w:r>
    </w:p>
    <w:p w14:paraId="7779CDDC">
      <w:pPr>
        <w:pStyle w:val="style0"/>
        <w:spacing w:after="60"/>
        <w:jc w:val="center"/>
        <w:rPr/>
      </w:pPr>
      <w:r>
        <w:rPr>
          <w:rFonts w:ascii="Times New Roman" w:cs="Times New Roman" w:eastAsia="Times New Roman" w:hAnsi="Times New Roman"/>
          <w:b/>
          <w:bCs/>
          <w:color w:val="000000"/>
          <w:sz w:val="28"/>
          <w:szCs w:val="28"/>
        </w:rPr>
        <w:t>AI-Based Smart E-Waste Collection and Recycling Management Platform</w:t>
      </w:r>
    </w:p>
    <w:p w14:paraId="14AE8348">
      <w:pPr>
        <w:pStyle w:val="style0"/>
        <w:pBdr>
          <w:bottom w:val="single" w:sz="6" w:space="8" w:color="1f3864"/>
        </w:pBdr>
        <w:spacing w:after="40"/>
        <w:jc w:val="center"/>
        <w:rPr/>
      </w:pPr>
      <w:r>
        <w:rPr>
          <w:rFonts w:ascii="Times New Roman" w:cs="Times New Roman" w:eastAsia="Times New Roman" w:hAnsi="Times New Roman"/>
          <w:i/>
          <w:iCs/>
          <w:color w:val="555555"/>
          <w:sz w:val="20"/>
          <w:szCs w:val="20"/>
        </w:rPr>
        <w:t>CO5 Assessment Tool 1  |  Course: Software Engineering (CSA10)  |  SIMATS Engineering – Dept. of CSE</w:t>
      </w:r>
    </w:p>
    <w:p w14:paraId="2BD53033">
      <w:pPr>
        <w:pStyle w:val="style0"/>
        <w:spacing w:after="200"/>
        <w:rPr/>
      </w:pPr>
    </w:p>
    <w:p w14:paraId="52D60DC9">
      <w:pPr>
        <w:pStyle w:val="style4097"/>
        <w:spacing w:before="320" w:after="160"/>
        <w:rPr/>
      </w:pPr>
      <w:r>
        <w:t>1. Introduction and Problem Statement</w:t>
      </w:r>
    </w:p>
    <w:p w14:paraId="07E6794D">
      <w:pPr>
        <w:pStyle w:val="style0"/>
        <w:spacing w:after="160" w:lineRule="auto" w:line="300"/>
        <w:jc w:val="both"/>
        <w:rPr/>
      </w:pPr>
      <w:r>
        <w:rPr>
          <w:rFonts w:ascii="Times New Roman" w:cs="Times New Roman" w:eastAsia="Times New Roman" w:hAnsi="Times New Roman"/>
          <w:color w:val="000000"/>
          <w:sz w:val="28"/>
          <w:szCs w:val="28"/>
        </w:rPr>
        <w:t>Electronic waste (e-waste) is one of the fastest-growing waste streams in the world, driven by shrinking device lifecycles, rising consumer electronics adoption, and inadequate formal collection infrastructure. Improper disposal releases hazardous substances such as lead, mercury, and brominated flame retardants into soil and water, while valuable recoverable materials — copper, gold, rare-earth elements — are lost to informal, unsafe recycling. Conventional e-waste collection relies on manual reporting, sparse drop-off points, and unsorted material streams, resulting in low recovery rates, high operating cost, and poor traceability.</w:t>
      </w:r>
    </w:p>
    <w:p w14:paraId="95B01DEB">
      <w:pPr>
        <w:pStyle w:val="style0"/>
        <w:spacing w:after="160" w:lineRule="auto" w:line="300"/>
        <w:jc w:val="both"/>
        <w:rPr/>
      </w:pPr>
      <w:r>
        <w:rPr>
          <w:rFonts w:ascii="Times New Roman" w:cs="Times New Roman" w:eastAsia="Times New Roman" w:hAnsi="Times New Roman"/>
          <w:color w:val="000000"/>
          <w:sz w:val="28"/>
          <w:szCs w:val="28"/>
        </w:rPr>
        <w:t>The assigned problem statement concerns the design of an AI-Based Smart E-Waste Collection and Recycling Management Platform: a system that combines IoT-enabled bin/collection-point monitoring, AI-driven image or sensor-based identification of e-waste categories, optimised collection routing, and a data-driven management layer connecting citizens, collectors, and recycling facilities. This literature survey reviews existing research relevant to each of these sub-components — smart monitoring, AI-based classification/detection, and IoT-AI integration frameworks — to identify current capabilities, limitations, and the research gap that a new platform could address.</w:t>
      </w:r>
    </w:p>
    <w:p w14:paraId="35739F8C">
      <w:pPr>
        <w:pStyle w:val="style4097"/>
        <w:spacing w:before="320" w:after="160"/>
        <w:rPr/>
      </w:pPr>
      <w:r>
        <w:t>2. Literature Survey — Individual Paper Reviews</w:t>
      </w:r>
    </w:p>
    <w:p w14:paraId="EE0F2EA7">
      <w:pPr>
        <w:pStyle w:val="style0"/>
        <w:spacing w:before="260" w:after="100"/>
        <w:rPr/>
      </w:pPr>
      <w:r>
        <w:rPr>
          <w:rFonts w:ascii="Times New Roman" w:cs="Times New Roman" w:eastAsia="Times New Roman" w:hAnsi="Times New Roman"/>
          <w:b/>
          <w:bCs/>
          <w:color w:val="000000"/>
          <w:sz w:val="36"/>
          <w:szCs w:val="36"/>
        </w:rPr>
        <w:t>Paper 1: Smart E-Waste Management System Utilizing IoT and Deep Learning Approaches</w:t>
      </w:r>
    </w:p>
    <w:p w14:paraId="79C4B99E">
      <w:pPr>
        <w:pStyle w:val="style0"/>
        <w:spacing w:after="100" w:lineRule="auto" w:line="280"/>
        <w:jc w:val="both"/>
        <w:rPr/>
      </w:pPr>
      <w:r>
        <w:rPr>
          <w:rFonts w:ascii="Times New Roman" w:cs="Times New Roman" w:eastAsia="Times New Roman" w:hAnsi="Times New Roman"/>
          <w:b/>
          <w:bCs/>
          <w:color w:val="000000"/>
          <w:sz w:val="28"/>
          <w:szCs w:val="28"/>
        </w:rPr>
        <w:t xml:space="preserve">Author(s) / Year: </w:t>
      </w:r>
      <w:r>
        <w:rPr>
          <w:rFonts w:ascii="Times New Roman" w:cs="Times New Roman" w:eastAsia="Times New Roman" w:hAnsi="Times New Roman"/>
          <w:color w:val="000000"/>
          <w:sz w:val="28"/>
          <w:szCs w:val="28"/>
        </w:rPr>
        <w:t>Voskergian, D. &amp; Ishaq, I., 2023</w:t>
      </w:r>
    </w:p>
    <w:p w14:paraId="DC584572">
      <w:pPr>
        <w:pStyle w:val="style0"/>
        <w:spacing w:after="100" w:lineRule="auto" w:line="280"/>
        <w:jc w:val="both"/>
        <w:rPr/>
      </w:pPr>
      <w:r>
        <w:rPr>
          <w:rFonts w:ascii="Times New Roman" w:cs="Times New Roman" w:eastAsia="Times New Roman" w:hAnsi="Times New Roman"/>
          <w:b/>
          <w:bCs/>
          <w:color w:val="000000"/>
          <w:sz w:val="28"/>
          <w:szCs w:val="28"/>
        </w:rPr>
        <w:t xml:space="preserve">Objective: </w:t>
      </w:r>
      <w:r>
        <w:rPr>
          <w:rFonts w:ascii="Times New Roman" w:cs="Times New Roman" w:eastAsia="Times New Roman" w:hAnsi="Times New Roman"/>
          <w:color w:val="000000"/>
          <w:sz w:val="28"/>
          <w:szCs w:val="28"/>
        </w:rPr>
        <w:t>Build a smart e-waste management system that monitors bin conditions and identifies e-waste items in real time.</w:t>
      </w:r>
    </w:p>
    <w:p w14:paraId="8A97B59D">
      <w:pPr>
        <w:pStyle w:val="style0"/>
        <w:spacing w:after="100" w:lineRule="auto" w:line="280"/>
        <w:jc w:val="both"/>
        <w:rPr/>
      </w:pPr>
      <w:r>
        <w:rPr>
          <w:rFonts w:ascii="Times New Roman" w:cs="Times New Roman" w:eastAsia="Times New Roman" w:hAnsi="Times New Roman"/>
          <w:b/>
          <w:bCs/>
          <w:color w:val="000000"/>
          <w:sz w:val="28"/>
          <w:szCs w:val="28"/>
        </w:rPr>
        <w:t xml:space="preserve">Methodology / Technology: </w:t>
      </w:r>
      <w:r>
        <w:rPr>
          <w:rFonts w:ascii="Times New Roman" w:cs="Times New Roman" w:eastAsia="Times New Roman" w:hAnsi="Times New Roman"/>
          <w:color w:val="000000"/>
          <w:sz w:val="28"/>
          <w:szCs w:val="28"/>
        </w:rPr>
        <w:t>A network of IoT sensors reports bin fill-level and status, while a TensorFlow Lite deep-learning model performs on-device object detection of e-waste items.</w:t>
      </w:r>
    </w:p>
    <w:p w14:paraId="17B17125">
      <w:pPr>
        <w:pStyle w:val="style0"/>
        <w:spacing w:after="100" w:lineRule="auto" w:line="280"/>
        <w:jc w:val="both"/>
        <w:rPr/>
      </w:pPr>
      <w:r>
        <w:rPr>
          <w:rFonts w:ascii="Times New Roman" w:cs="Times New Roman" w:eastAsia="Times New Roman" w:hAnsi="Times New Roman"/>
          <w:b/>
          <w:bCs/>
          <w:color w:val="000000"/>
          <w:sz w:val="28"/>
          <w:szCs w:val="28"/>
        </w:rPr>
        <w:t xml:space="preserve">Dataset / Tools: </w:t>
      </w:r>
      <w:r>
        <w:rPr>
          <w:rFonts w:ascii="Times New Roman" w:cs="Times New Roman" w:eastAsia="Times New Roman" w:hAnsi="Times New Roman"/>
          <w:color w:val="000000"/>
          <w:sz w:val="28"/>
          <w:szCs w:val="28"/>
        </w:rPr>
        <w:t>Custom e-waste image data; Arduino-class microcontrollers with ultrasonic and condition sensors; TensorFlow Lite.</w:t>
      </w:r>
    </w:p>
    <w:p w14:paraId="5361B9F5">
      <w:pPr>
        <w:pStyle w:val="style0"/>
        <w:spacing w:after="100" w:lineRule="auto" w:line="280"/>
        <w:jc w:val="both"/>
        <w:rPr/>
      </w:pPr>
      <w:r>
        <w:rPr>
          <w:rFonts w:ascii="Times New Roman" w:cs="Times New Roman" w:eastAsia="Times New Roman" w:hAnsi="Times New Roman"/>
          <w:b/>
          <w:bCs/>
          <w:color w:val="000000"/>
          <w:sz w:val="28"/>
          <w:szCs w:val="28"/>
        </w:rPr>
        <w:t xml:space="preserve">Key Findings: </w:t>
      </w:r>
      <w:r>
        <w:rPr>
          <w:rFonts w:ascii="Times New Roman" w:cs="Times New Roman" w:eastAsia="Times New Roman" w:hAnsi="Times New Roman"/>
          <w:color w:val="000000"/>
          <w:sz w:val="28"/>
          <w:szCs w:val="28"/>
        </w:rPr>
        <w:t>Combining continuous bin-condition monitoring with real-time object detection gives collectors and policymakers a more complete operational picture than sensor-only or vision-only systems.</w:t>
      </w:r>
    </w:p>
    <w:p w14:paraId="9BEB1144">
      <w:pPr>
        <w:pStyle w:val="style0"/>
        <w:spacing w:after="100" w:lineRule="auto" w:line="280"/>
        <w:jc w:val="both"/>
        <w:rPr/>
      </w:pPr>
      <w:r>
        <w:rPr>
          <w:rFonts w:ascii="Times New Roman" w:cs="Times New Roman" w:eastAsia="Times New Roman" w:hAnsi="Times New Roman"/>
          <w:b/>
          <w:bCs/>
          <w:color w:val="000000"/>
          <w:sz w:val="28"/>
          <w:szCs w:val="28"/>
        </w:rPr>
        <w:t xml:space="preserve">Limitations: </w:t>
      </w:r>
      <w:r>
        <w:rPr>
          <w:rFonts w:ascii="Times New Roman" w:cs="Times New Roman" w:eastAsia="Times New Roman" w:hAnsi="Times New Roman"/>
          <w:color w:val="000000"/>
          <w:sz w:val="28"/>
          <w:szCs w:val="28"/>
        </w:rPr>
        <w:t>On-device inference is constrained by embedded hardware; the reported image set is small and not very diverse, limiting generalisation across device types and lighting conditions.</w:t>
      </w:r>
    </w:p>
    <w:p w14:paraId="DE242D3B">
      <w:pPr>
        <w:pStyle w:val="style0"/>
        <w:spacing w:before="260" w:after="100"/>
        <w:rPr/>
      </w:pPr>
      <w:r>
        <w:rPr>
          <w:rFonts w:ascii="Times New Roman" w:cs="Times New Roman" w:eastAsia="Times New Roman" w:hAnsi="Times New Roman"/>
          <w:b/>
          <w:bCs/>
          <w:color w:val="000000"/>
          <w:sz w:val="36"/>
          <w:szCs w:val="36"/>
        </w:rPr>
        <w:t>Paper 2: Application of a Deep-Learning Object Classifier to Improve E-Waste Collection Planning</w:t>
      </w:r>
    </w:p>
    <w:p w14:paraId="D268A028">
      <w:pPr>
        <w:pStyle w:val="style0"/>
        <w:spacing w:after="100" w:lineRule="auto" w:line="280"/>
        <w:jc w:val="both"/>
        <w:rPr/>
      </w:pPr>
      <w:r>
        <w:rPr>
          <w:rFonts w:ascii="Times New Roman" w:cs="Times New Roman" w:eastAsia="Times New Roman" w:hAnsi="Times New Roman"/>
          <w:b/>
          <w:bCs/>
          <w:color w:val="000000"/>
          <w:sz w:val="28"/>
          <w:szCs w:val="28"/>
        </w:rPr>
        <w:t xml:space="preserve">Author(s) / Year: </w:t>
      </w:r>
      <w:r>
        <w:rPr>
          <w:rFonts w:ascii="Times New Roman" w:cs="Times New Roman" w:eastAsia="Times New Roman" w:hAnsi="Times New Roman"/>
          <w:color w:val="000000"/>
          <w:sz w:val="28"/>
          <w:szCs w:val="28"/>
        </w:rPr>
        <w:t>Nowakowski, P. et al., 2020</w:t>
      </w:r>
    </w:p>
    <w:p w14:paraId="806B127A">
      <w:pPr>
        <w:pStyle w:val="style0"/>
        <w:spacing w:after="100" w:lineRule="auto" w:line="280"/>
        <w:jc w:val="both"/>
        <w:rPr/>
      </w:pPr>
      <w:r>
        <w:rPr>
          <w:rFonts w:ascii="Times New Roman" w:cs="Times New Roman" w:eastAsia="Times New Roman" w:hAnsi="Times New Roman"/>
          <w:b/>
          <w:bCs/>
          <w:color w:val="000000"/>
          <w:sz w:val="28"/>
          <w:szCs w:val="28"/>
        </w:rPr>
        <w:t xml:space="preserve">Objective: </w:t>
      </w:r>
      <w:r>
        <w:rPr>
          <w:rFonts w:ascii="Times New Roman" w:cs="Times New Roman" w:eastAsia="Times New Roman" w:hAnsi="Times New Roman"/>
          <w:color w:val="000000"/>
          <w:sz w:val="28"/>
          <w:szCs w:val="28"/>
        </w:rPr>
        <w:t>Improve information exchange between collection points and users by classifying e-waste from images on a mobile-to-server pipeline.</w:t>
      </w:r>
    </w:p>
    <w:p w14:paraId="65E32B89">
      <w:pPr>
        <w:pStyle w:val="style0"/>
        <w:spacing w:after="100" w:lineRule="auto" w:line="280"/>
        <w:jc w:val="both"/>
        <w:rPr/>
      </w:pPr>
      <w:r>
        <w:rPr>
          <w:rFonts w:ascii="Times New Roman" w:cs="Times New Roman" w:eastAsia="Times New Roman" w:hAnsi="Times New Roman"/>
          <w:b/>
          <w:bCs/>
          <w:color w:val="000000"/>
          <w:sz w:val="28"/>
          <w:szCs w:val="28"/>
        </w:rPr>
        <w:t xml:space="preserve">Methodology / Technology: </w:t>
      </w:r>
      <w:r>
        <w:rPr>
          <w:rFonts w:ascii="Times New Roman" w:cs="Times New Roman" w:eastAsia="Times New Roman" w:hAnsi="Times New Roman"/>
          <w:color w:val="000000"/>
          <w:sz w:val="28"/>
          <w:szCs w:val="28"/>
        </w:rPr>
        <w:t>A mobile application uploads photos to a server, which uses a CNN classifier together with a Faster R-CNN detector to identify e-waste category and approximate size.</w:t>
      </w:r>
    </w:p>
    <w:p w14:paraId="F15AFE24">
      <w:pPr>
        <w:pStyle w:val="style0"/>
        <w:spacing w:after="100" w:lineRule="auto" w:line="280"/>
        <w:jc w:val="both"/>
        <w:rPr/>
      </w:pPr>
      <w:r>
        <w:rPr>
          <w:rFonts w:ascii="Times New Roman" w:cs="Times New Roman" w:eastAsia="Times New Roman" w:hAnsi="Times New Roman"/>
          <w:b/>
          <w:bCs/>
          <w:color w:val="000000"/>
          <w:sz w:val="28"/>
          <w:szCs w:val="28"/>
        </w:rPr>
        <w:t xml:space="preserve">Dataset / Tools: </w:t>
      </w:r>
      <w:r>
        <w:rPr>
          <w:rFonts w:ascii="Times New Roman" w:cs="Times New Roman" w:eastAsia="Times New Roman" w:hAnsi="Times New Roman"/>
          <w:color w:val="000000"/>
          <w:sz w:val="28"/>
          <w:szCs w:val="28"/>
        </w:rPr>
        <w:t>180 labelled training images; CNN and region-based CNN architectures.</w:t>
      </w:r>
    </w:p>
    <w:p w14:paraId="238FAB95">
      <w:pPr>
        <w:pStyle w:val="style0"/>
        <w:spacing w:after="100" w:lineRule="auto" w:line="280"/>
        <w:jc w:val="both"/>
        <w:rPr/>
      </w:pPr>
      <w:r>
        <w:rPr>
          <w:rFonts w:ascii="Times New Roman" w:cs="Times New Roman" w:eastAsia="Times New Roman" w:hAnsi="Times New Roman"/>
          <w:b/>
          <w:bCs/>
          <w:color w:val="000000"/>
          <w:sz w:val="28"/>
          <w:szCs w:val="28"/>
        </w:rPr>
        <w:t xml:space="preserve">Key Findings: </w:t>
      </w:r>
      <w:r>
        <w:rPr>
          <w:rFonts w:ascii="Times New Roman" w:cs="Times New Roman" w:eastAsia="Times New Roman" w:hAnsi="Times New Roman"/>
          <w:color w:val="000000"/>
          <w:sz w:val="28"/>
          <w:szCs w:val="28"/>
        </w:rPr>
        <w:t>The system achieved classification accuracy in the 90–97% range, showing that image-based identification can meaningfully support collection planning.</w:t>
      </w:r>
    </w:p>
    <w:p w14:paraId="C9007DEF">
      <w:pPr>
        <w:pStyle w:val="style0"/>
        <w:spacing w:after="100" w:lineRule="auto" w:line="280"/>
        <w:jc w:val="both"/>
        <w:rPr/>
      </w:pPr>
      <w:r>
        <w:rPr>
          <w:rFonts w:ascii="Times New Roman" w:cs="Times New Roman" w:eastAsia="Times New Roman" w:hAnsi="Times New Roman"/>
          <w:b/>
          <w:bCs/>
          <w:color w:val="000000"/>
          <w:sz w:val="28"/>
          <w:szCs w:val="28"/>
        </w:rPr>
        <w:t xml:space="preserve">Limitations: </w:t>
      </w:r>
      <w:r>
        <w:rPr>
          <w:rFonts w:ascii="Times New Roman" w:cs="Times New Roman" w:eastAsia="Times New Roman" w:hAnsi="Times New Roman"/>
          <w:color w:val="000000"/>
          <w:sz w:val="28"/>
          <w:szCs w:val="28"/>
        </w:rPr>
        <w:t>The very small training set (180 images) raises concerns about robustness when the system meets device types or backgrounds not seen during training.</w:t>
      </w:r>
    </w:p>
    <w:p w14:paraId="C4C1A1AD">
      <w:pPr>
        <w:pStyle w:val="style0"/>
        <w:spacing w:before="260" w:after="100"/>
        <w:rPr/>
      </w:pPr>
      <w:r>
        <w:rPr>
          <w:rFonts w:ascii="Times New Roman" w:cs="Times New Roman" w:eastAsia="Times New Roman" w:hAnsi="Times New Roman"/>
          <w:b/>
          <w:bCs/>
          <w:color w:val="000000"/>
          <w:sz w:val="36"/>
          <w:szCs w:val="36"/>
        </w:rPr>
        <w:t>Paper 3: E-Waste Classification Using a Pre-Trained Deep-Learning CNN Model (YOLOv7-based)</w:t>
      </w:r>
    </w:p>
    <w:p w14:paraId="321C32A4">
      <w:pPr>
        <w:pStyle w:val="style0"/>
        <w:spacing w:after="100" w:lineRule="auto" w:line="280"/>
        <w:jc w:val="both"/>
        <w:rPr/>
      </w:pPr>
      <w:r>
        <w:rPr>
          <w:rFonts w:ascii="Times New Roman" w:cs="Times New Roman" w:eastAsia="Times New Roman" w:hAnsi="Times New Roman"/>
          <w:b/>
          <w:bCs/>
          <w:color w:val="000000"/>
          <w:sz w:val="28"/>
          <w:szCs w:val="28"/>
        </w:rPr>
        <w:t xml:space="preserve">Author(s) / Year: </w:t>
      </w:r>
      <w:r>
        <w:rPr>
          <w:rFonts w:ascii="Times New Roman" w:cs="Times New Roman" w:eastAsia="Times New Roman" w:hAnsi="Times New Roman"/>
          <w:color w:val="000000"/>
          <w:sz w:val="28"/>
          <w:szCs w:val="28"/>
        </w:rPr>
        <w:t>Springer Nature (Advances in Intelligent Systems), 2024</w:t>
      </w:r>
    </w:p>
    <w:p w14:paraId="E5F4C9A1">
      <w:pPr>
        <w:pStyle w:val="style0"/>
        <w:spacing w:after="100" w:lineRule="auto" w:line="280"/>
        <w:jc w:val="both"/>
        <w:rPr/>
      </w:pPr>
      <w:r>
        <w:rPr>
          <w:rFonts w:ascii="Times New Roman" w:cs="Times New Roman" w:eastAsia="Times New Roman" w:hAnsi="Times New Roman"/>
          <w:b/>
          <w:bCs/>
          <w:color w:val="000000"/>
          <w:sz w:val="28"/>
          <w:szCs w:val="28"/>
        </w:rPr>
        <w:t xml:space="preserve">Objective: </w:t>
      </w:r>
      <w:r>
        <w:rPr>
          <w:rFonts w:ascii="Times New Roman" w:cs="Times New Roman" w:eastAsia="Times New Roman" w:hAnsi="Times New Roman"/>
          <w:color w:val="000000"/>
          <w:sz w:val="28"/>
          <w:szCs w:val="28"/>
        </w:rPr>
        <w:t>Detect e-waste objects in images and classify them into fine-grained composition categories.</w:t>
      </w:r>
    </w:p>
    <w:p w14:paraId="9B76B16E">
      <w:pPr>
        <w:pStyle w:val="style0"/>
        <w:spacing w:after="100" w:lineRule="auto" w:line="280"/>
        <w:jc w:val="both"/>
        <w:rPr/>
      </w:pPr>
      <w:r>
        <w:rPr>
          <w:rFonts w:ascii="Times New Roman" w:cs="Times New Roman" w:eastAsia="Times New Roman" w:hAnsi="Times New Roman"/>
          <w:b/>
          <w:bCs/>
          <w:color w:val="000000"/>
          <w:sz w:val="28"/>
          <w:szCs w:val="28"/>
        </w:rPr>
        <w:t xml:space="preserve">Methodology / Technology: </w:t>
      </w:r>
      <w:r>
        <w:rPr>
          <w:rFonts w:ascii="Times New Roman" w:cs="Times New Roman" w:eastAsia="Times New Roman" w:hAnsi="Times New Roman"/>
          <w:color w:val="000000"/>
          <w:sz w:val="28"/>
          <w:szCs w:val="28"/>
        </w:rPr>
        <w:t>YOLOv7 is used as the detection model to localise and crop e-waste objects; a separate pre-trained model then classifies each cropped region.</w:t>
      </w:r>
    </w:p>
    <w:p w14:paraId="D678524B">
      <w:pPr>
        <w:pStyle w:val="style0"/>
        <w:spacing w:after="100" w:lineRule="auto" w:line="280"/>
        <w:jc w:val="both"/>
        <w:rPr/>
      </w:pPr>
      <w:r>
        <w:rPr>
          <w:rFonts w:ascii="Times New Roman" w:cs="Times New Roman" w:eastAsia="Times New Roman" w:hAnsi="Times New Roman"/>
          <w:b/>
          <w:bCs/>
          <w:color w:val="000000"/>
          <w:sz w:val="28"/>
          <w:szCs w:val="28"/>
        </w:rPr>
        <w:t xml:space="preserve">Dataset / Tools: </w:t>
      </w:r>
      <w:r>
        <w:rPr>
          <w:rFonts w:ascii="Times New Roman" w:cs="Times New Roman" w:eastAsia="Times New Roman" w:hAnsi="Times New Roman"/>
          <w:color w:val="000000"/>
          <w:sz w:val="28"/>
          <w:szCs w:val="28"/>
        </w:rPr>
        <w:t>Annotated e-waste image dataset; YOLOv7 and a pre-trained CNN classifier.</w:t>
      </w:r>
    </w:p>
    <w:p w14:paraId="BA6DA264">
      <w:pPr>
        <w:pStyle w:val="style0"/>
        <w:spacing w:after="100" w:lineRule="auto" w:line="280"/>
        <w:jc w:val="both"/>
        <w:rPr/>
      </w:pPr>
      <w:r>
        <w:rPr>
          <w:rFonts w:ascii="Times New Roman" w:cs="Times New Roman" w:eastAsia="Times New Roman" w:hAnsi="Times New Roman"/>
          <w:b/>
          <w:bCs/>
          <w:color w:val="000000"/>
          <w:sz w:val="28"/>
          <w:szCs w:val="28"/>
        </w:rPr>
        <w:t xml:space="preserve">Key Findings: </w:t>
      </w:r>
      <w:r>
        <w:rPr>
          <w:rFonts w:ascii="Times New Roman" w:cs="Times New Roman" w:eastAsia="Times New Roman" w:hAnsi="Times New Roman"/>
          <w:color w:val="000000"/>
          <w:sz w:val="28"/>
          <w:szCs w:val="28"/>
        </w:rPr>
        <w:t>The two-stage pipeline achieved 93.5% mean average precision (mAP) for detection and 99.7% accuracy for classification, among the highest reported for this task.</w:t>
      </w:r>
    </w:p>
    <w:p w14:paraId="527245DE">
      <w:pPr>
        <w:pStyle w:val="style0"/>
        <w:spacing w:after="100" w:lineRule="auto" w:line="280"/>
        <w:jc w:val="both"/>
        <w:rPr/>
      </w:pPr>
      <w:r>
        <w:rPr>
          <w:rFonts w:ascii="Times New Roman" w:cs="Times New Roman" w:eastAsia="Times New Roman" w:hAnsi="Times New Roman"/>
          <w:b/>
          <w:bCs/>
          <w:color w:val="000000"/>
          <w:sz w:val="28"/>
          <w:szCs w:val="28"/>
        </w:rPr>
        <w:t xml:space="preserve">Limitations: </w:t>
      </w:r>
      <w:r>
        <w:rPr>
          <w:rFonts w:ascii="Times New Roman" w:cs="Times New Roman" w:eastAsia="Times New Roman" w:hAnsi="Times New Roman"/>
          <w:color w:val="000000"/>
          <w:sz w:val="28"/>
          <w:szCs w:val="28"/>
        </w:rPr>
        <w:t>The near-perfect accuracy is reported on a curated, likely uncluttered dataset; performance on occluded, stacked, or damaged real-world e-waste is not evaluated.</w:t>
      </w:r>
    </w:p>
    <w:p w14:paraId="3F4D48D6">
      <w:pPr>
        <w:pStyle w:val="style0"/>
        <w:spacing w:before="260" w:after="100"/>
        <w:rPr/>
      </w:pPr>
      <w:r>
        <w:rPr>
          <w:rFonts w:ascii="Times New Roman" w:cs="Times New Roman" w:eastAsia="Times New Roman" w:hAnsi="Times New Roman"/>
          <w:b/>
          <w:bCs/>
          <w:color w:val="000000"/>
          <w:sz w:val="36"/>
          <w:szCs w:val="36"/>
        </w:rPr>
        <w:t>Paper 4: Green Grid: Smart Tech Meets E-Waste</w:t>
      </w:r>
    </w:p>
    <w:p w14:paraId="9B7AA906">
      <w:pPr>
        <w:pStyle w:val="style0"/>
        <w:spacing w:after="100" w:lineRule="auto" w:line="280"/>
        <w:jc w:val="both"/>
        <w:rPr/>
      </w:pPr>
      <w:r>
        <w:rPr>
          <w:rFonts w:ascii="Times New Roman" w:cs="Times New Roman" w:eastAsia="Times New Roman" w:hAnsi="Times New Roman"/>
          <w:b/>
          <w:bCs/>
          <w:color w:val="000000"/>
          <w:sz w:val="28"/>
          <w:szCs w:val="28"/>
        </w:rPr>
        <w:t xml:space="preserve">Author(s) / Year: </w:t>
      </w:r>
      <w:r>
        <w:rPr>
          <w:rFonts w:ascii="Times New Roman" w:cs="Times New Roman" w:eastAsia="Times New Roman" w:hAnsi="Times New Roman"/>
          <w:color w:val="000000"/>
          <w:sz w:val="28"/>
          <w:szCs w:val="28"/>
        </w:rPr>
        <w:t>arXiv preprint, 2025</w:t>
      </w:r>
    </w:p>
    <w:p w14:paraId="E376ECBB">
      <w:pPr>
        <w:pStyle w:val="style0"/>
        <w:spacing w:after="100" w:lineRule="auto" w:line="280"/>
        <w:jc w:val="both"/>
        <w:rPr/>
      </w:pPr>
      <w:r>
        <w:rPr>
          <w:rFonts w:ascii="Times New Roman" w:cs="Times New Roman" w:eastAsia="Times New Roman" w:hAnsi="Times New Roman"/>
          <w:b/>
          <w:bCs/>
          <w:color w:val="000000"/>
          <w:sz w:val="28"/>
          <w:szCs w:val="28"/>
        </w:rPr>
        <w:t xml:space="preserve">Objective: </w:t>
      </w:r>
      <w:r>
        <w:rPr>
          <w:rFonts w:ascii="Times New Roman" w:cs="Times New Roman" w:eastAsia="Times New Roman" w:hAnsi="Times New Roman"/>
          <w:color w:val="000000"/>
          <w:sz w:val="28"/>
          <w:szCs w:val="28"/>
        </w:rPr>
        <w:t>Design an end-to-end platform that automatically routes incoming devices to refurbishment or material-recovery streams.</w:t>
      </w:r>
    </w:p>
    <w:p w14:paraId="AC2D5C4C">
      <w:pPr>
        <w:pStyle w:val="style0"/>
        <w:spacing w:after="100" w:lineRule="auto" w:line="280"/>
        <w:jc w:val="both"/>
        <w:rPr/>
      </w:pPr>
      <w:r>
        <w:rPr>
          <w:rFonts w:ascii="Times New Roman" w:cs="Times New Roman" w:eastAsia="Times New Roman" w:hAnsi="Times New Roman"/>
          <w:b/>
          <w:bCs/>
          <w:color w:val="000000"/>
          <w:sz w:val="28"/>
          <w:szCs w:val="28"/>
        </w:rPr>
        <w:t xml:space="preserve">Methodology / Technology: </w:t>
      </w:r>
      <w:r>
        <w:rPr>
          <w:rFonts w:ascii="Times New Roman" w:cs="Times New Roman" w:eastAsia="Times New Roman" w:hAnsi="Times New Roman"/>
          <w:color w:val="000000"/>
          <w:sz w:val="28"/>
          <w:szCs w:val="28"/>
        </w:rPr>
        <w:t>A YOLO/ResNet-style computer-vision module (built with TensorFlow/PyTorch) analyses images or X-ray scans of devices; each prediction is logged to a tracking record to prevent misclassification and fraud.</w:t>
      </w:r>
    </w:p>
    <w:p w14:paraId="918363A4">
      <w:pPr>
        <w:pStyle w:val="style0"/>
        <w:spacing w:after="100" w:lineRule="auto" w:line="280"/>
        <w:jc w:val="both"/>
        <w:rPr/>
      </w:pPr>
      <w:r>
        <w:rPr>
          <w:rFonts w:ascii="Times New Roman" w:cs="Times New Roman" w:eastAsia="Times New Roman" w:hAnsi="Times New Roman"/>
          <w:b/>
          <w:bCs/>
          <w:color w:val="000000"/>
          <w:sz w:val="28"/>
          <w:szCs w:val="28"/>
        </w:rPr>
        <w:t xml:space="preserve">Dataset / Tools: </w:t>
      </w:r>
      <w:r>
        <w:rPr>
          <w:rFonts w:ascii="Times New Roman" w:cs="Times New Roman" w:eastAsia="Times New Roman" w:hAnsi="Times New Roman"/>
          <w:color w:val="000000"/>
          <w:sz w:val="28"/>
          <w:szCs w:val="28"/>
        </w:rPr>
        <w:t>E-waste device images (phones, laptops, batteries); TensorFlow/PyTorch vision models.</w:t>
      </w:r>
    </w:p>
    <w:p w14:paraId="E8100507">
      <w:pPr>
        <w:pStyle w:val="style0"/>
        <w:spacing w:after="100" w:lineRule="auto" w:line="280"/>
        <w:jc w:val="both"/>
        <w:rPr/>
      </w:pPr>
      <w:r>
        <w:rPr>
          <w:rFonts w:ascii="Times New Roman" w:cs="Times New Roman" w:eastAsia="Times New Roman" w:hAnsi="Times New Roman"/>
          <w:b/>
          <w:bCs/>
          <w:color w:val="000000"/>
          <w:sz w:val="28"/>
          <w:szCs w:val="28"/>
        </w:rPr>
        <w:t xml:space="preserve">Key Findings: </w:t>
      </w:r>
      <w:r>
        <w:rPr>
          <w:rFonts w:ascii="Times New Roman" w:cs="Times New Roman" w:eastAsia="Times New Roman" w:hAnsi="Times New Roman"/>
          <w:color w:val="000000"/>
          <w:sz w:val="28"/>
          <w:szCs w:val="28"/>
        </w:rPr>
        <w:t>Positions AI classification as part of a broader traceability and anti-fraud system, not just a sorting step, linking predictions to device-level audit trails.</w:t>
      </w:r>
    </w:p>
    <w:p w14:paraId="7F080995">
      <w:pPr>
        <w:pStyle w:val="style0"/>
        <w:spacing w:after="100" w:lineRule="auto" w:line="280"/>
        <w:jc w:val="both"/>
        <w:rPr/>
      </w:pPr>
      <w:r>
        <w:rPr>
          <w:rFonts w:ascii="Times New Roman" w:cs="Times New Roman" w:eastAsia="Times New Roman" w:hAnsi="Times New Roman"/>
          <w:b/>
          <w:bCs/>
          <w:color w:val="000000"/>
          <w:sz w:val="28"/>
          <w:szCs w:val="28"/>
        </w:rPr>
        <w:t xml:space="preserve">Limitations: </w:t>
      </w:r>
      <w:r>
        <w:rPr>
          <w:rFonts w:ascii="Times New Roman" w:cs="Times New Roman" w:eastAsia="Times New Roman" w:hAnsi="Times New Roman"/>
          <w:color w:val="000000"/>
          <w:sz w:val="28"/>
          <w:szCs w:val="28"/>
        </w:rPr>
        <w:t>The work is presented at a conceptual/architectural level with limited experimental validation of accuracy or throughput at scale.</w:t>
      </w:r>
    </w:p>
    <w:p w14:paraId="D6D8C836">
      <w:pPr>
        <w:pStyle w:val="style0"/>
        <w:spacing w:before="260" w:after="100"/>
        <w:rPr/>
      </w:pPr>
      <w:r>
        <w:rPr>
          <w:rFonts w:ascii="Times New Roman" w:cs="Times New Roman" w:eastAsia="Times New Roman" w:hAnsi="Times New Roman"/>
          <w:b/>
          <w:bCs/>
          <w:color w:val="000000"/>
          <w:sz w:val="36"/>
          <w:szCs w:val="36"/>
        </w:rPr>
        <w:t>Paper 5: An IoT- and Cloud-Based E-Waste Management System for Resource Reclamation</w:t>
      </w:r>
    </w:p>
    <w:p w14:paraId="C4762860">
      <w:pPr>
        <w:pStyle w:val="style0"/>
        <w:spacing w:after="100" w:lineRule="auto" w:line="280"/>
        <w:jc w:val="both"/>
        <w:rPr/>
      </w:pPr>
      <w:r>
        <w:rPr>
          <w:rFonts w:ascii="Times New Roman" w:cs="Times New Roman" w:eastAsia="Times New Roman" w:hAnsi="Times New Roman"/>
          <w:b/>
          <w:bCs/>
          <w:color w:val="000000"/>
          <w:sz w:val="28"/>
          <w:szCs w:val="28"/>
        </w:rPr>
        <w:t xml:space="preserve">Author(s) / Year: </w:t>
      </w:r>
      <w:r>
        <w:rPr>
          <w:rFonts w:ascii="Times New Roman" w:cs="Times New Roman" w:eastAsia="Times New Roman" w:hAnsi="Times New Roman"/>
          <w:color w:val="000000"/>
          <w:sz w:val="28"/>
          <w:szCs w:val="28"/>
        </w:rPr>
        <w:t>ResearchGate-indexed study, 2023 (with YOLO11 extension)</w:t>
      </w:r>
    </w:p>
    <w:p w14:paraId="677CF194">
      <w:pPr>
        <w:pStyle w:val="style0"/>
        <w:spacing w:after="100" w:lineRule="auto" w:line="280"/>
        <w:jc w:val="both"/>
        <w:rPr/>
      </w:pPr>
      <w:r>
        <w:rPr>
          <w:rFonts w:ascii="Times New Roman" w:cs="Times New Roman" w:eastAsia="Times New Roman" w:hAnsi="Times New Roman"/>
          <w:b/>
          <w:bCs/>
          <w:color w:val="000000"/>
          <w:sz w:val="28"/>
          <w:szCs w:val="28"/>
        </w:rPr>
        <w:t xml:space="preserve">Objective: </w:t>
      </w:r>
      <w:r>
        <w:rPr>
          <w:rFonts w:ascii="Times New Roman" w:cs="Times New Roman" w:eastAsia="Times New Roman" w:hAnsi="Times New Roman"/>
          <w:color w:val="000000"/>
          <w:sz w:val="28"/>
          <w:szCs w:val="28"/>
        </w:rPr>
        <w:t>Support data-driven decisions for e-waste collection, sorting, and disposal using IoT and cloud infrastructure.</w:t>
      </w:r>
    </w:p>
    <w:p w14:paraId="B36EEAE5">
      <w:pPr>
        <w:pStyle w:val="style0"/>
        <w:spacing w:after="100" w:lineRule="auto" w:line="280"/>
        <w:jc w:val="both"/>
        <w:rPr/>
      </w:pPr>
      <w:r>
        <w:rPr>
          <w:rFonts w:ascii="Times New Roman" w:cs="Times New Roman" w:eastAsia="Times New Roman" w:hAnsi="Times New Roman"/>
          <w:b/>
          <w:bCs/>
          <w:color w:val="000000"/>
          <w:sz w:val="28"/>
          <w:szCs w:val="28"/>
        </w:rPr>
        <w:t xml:space="preserve">Methodology / Technology: </w:t>
      </w:r>
      <w:r>
        <w:rPr>
          <w:rFonts w:ascii="Times New Roman" w:cs="Times New Roman" w:eastAsia="Times New Roman" w:hAnsi="Times New Roman"/>
          <w:color w:val="000000"/>
          <w:sz w:val="28"/>
          <w:szCs w:val="28"/>
        </w:rPr>
        <w:t>IoT sensors embedded at collection sites feed real-time volume data to a cloud back-end; a YOLO11 object-detection model performs real-time visual identification of e-waste items.</w:t>
      </w:r>
    </w:p>
    <w:p w14:paraId="7920EF50">
      <w:pPr>
        <w:pStyle w:val="style0"/>
        <w:spacing w:after="100" w:lineRule="auto" w:line="280"/>
        <w:jc w:val="both"/>
        <w:rPr/>
      </w:pPr>
      <w:r>
        <w:rPr>
          <w:rFonts w:ascii="Times New Roman" w:cs="Times New Roman" w:eastAsia="Times New Roman" w:hAnsi="Times New Roman"/>
          <w:b/>
          <w:bCs/>
          <w:color w:val="000000"/>
          <w:sz w:val="28"/>
          <w:szCs w:val="28"/>
        </w:rPr>
        <w:t xml:space="preserve">Dataset / Tools: </w:t>
      </w:r>
      <w:r>
        <w:rPr>
          <w:rFonts w:ascii="Times New Roman" w:cs="Times New Roman" w:eastAsia="Times New Roman" w:hAnsi="Times New Roman"/>
          <w:color w:val="000000"/>
          <w:sz w:val="28"/>
          <w:szCs w:val="28"/>
        </w:rPr>
        <w:t>Sensor-generated e-waste volume/location data; e-waste image set; cloud analytics platform.</w:t>
      </w:r>
    </w:p>
    <w:p w14:paraId="60B600B4">
      <w:pPr>
        <w:pStyle w:val="style0"/>
        <w:spacing w:after="100" w:lineRule="auto" w:line="280"/>
        <w:jc w:val="both"/>
        <w:rPr/>
      </w:pPr>
      <w:r>
        <w:rPr>
          <w:rFonts w:ascii="Times New Roman" w:cs="Times New Roman" w:eastAsia="Times New Roman" w:hAnsi="Times New Roman"/>
          <w:b/>
          <w:bCs/>
          <w:color w:val="000000"/>
          <w:sz w:val="28"/>
          <w:szCs w:val="28"/>
        </w:rPr>
        <w:t xml:space="preserve">Key Findings: </w:t>
      </w:r>
      <w:r>
        <w:rPr>
          <w:rFonts w:ascii="Times New Roman" w:cs="Times New Roman" w:eastAsia="Times New Roman" w:hAnsi="Times New Roman"/>
          <w:color w:val="000000"/>
          <w:sz w:val="28"/>
          <w:szCs w:val="28"/>
        </w:rPr>
        <w:t>YOLO11 achieved a GPU-based inference time of 4.9 ms, demonstrating feasibility for real-time, automated e-waste sorting at collection or facility level.</w:t>
      </w:r>
    </w:p>
    <w:p w14:paraId="F48809CB">
      <w:pPr>
        <w:pStyle w:val="style0"/>
        <w:spacing w:after="100" w:lineRule="auto" w:line="280"/>
        <w:jc w:val="both"/>
        <w:rPr/>
      </w:pPr>
      <w:r>
        <w:rPr>
          <w:rFonts w:ascii="Times New Roman" w:cs="Times New Roman" w:eastAsia="Times New Roman" w:hAnsi="Times New Roman"/>
          <w:b/>
          <w:bCs/>
          <w:color w:val="000000"/>
          <w:sz w:val="28"/>
          <w:szCs w:val="28"/>
        </w:rPr>
        <w:t xml:space="preserve">Limitations: </w:t>
      </w:r>
      <w:r>
        <w:rPr>
          <w:rFonts w:ascii="Times New Roman" w:cs="Times New Roman" w:eastAsia="Times New Roman" w:hAnsi="Times New Roman"/>
          <w:color w:val="000000"/>
          <w:sz w:val="28"/>
          <w:szCs w:val="28"/>
        </w:rPr>
        <w:t>Reliance on continuous cloud connectivity introduces latency and single-point-of-failure risk in areas with unreliable networks.</w:t>
      </w:r>
    </w:p>
    <w:p w14:paraId="B1896C02">
      <w:pPr>
        <w:pStyle w:val="style0"/>
        <w:spacing w:before="260" w:after="100"/>
        <w:rPr/>
      </w:pPr>
      <w:r>
        <w:rPr>
          <w:rFonts w:ascii="Times New Roman" w:cs="Times New Roman" w:eastAsia="Times New Roman" w:hAnsi="Times New Roman"/>
          <w:b/>
          <w:bCs/>
          <w:color w:val="000000"/>
          <w:sz w:val="36"/>
          <w:szCs w:val="36"/>
        </w:rPr>
        <w:t>Paper 6: Revolutionizing Urban Solid Waste Management with AI and IoT: A Review</w:t>
      </w:r>
    </w:p>
    <w:p w14:paraId="2E43F20C">
      <w:pPr>
        <w:pStyle w:val="style0"/>
        <w:spacing w:after="100" w:lineRule="auto" w:line="280"/>
        <w:jc w:val="both"/>
        <w:rPr/>
      </w:pPr>
      <w:r>
        <w:rPr>
          <w:rFonts w:ascii="Times New Roman" w:cs="Times New Roman" w:eastAsia="Times New Roman" w:hAnsi="Times New Roman"/>
          <w:b/>
          <w:bCs/>
          <w:color w:val="000000"/>
          <w:sz w:val="28"/>
          <w:szCs w:val="28"/>
        </w:rPr>
        <w:t xml:space="preserve">Author(s) / Year: </w:t>
      </w:r>
      <w:r>
        <w:rPr>
          <w:rFonts w:ascii="Times New Roman" w:cs="Times New Roman" w:eastAsia="Times New Roman" w:hAnsi="Times New Roman"/>
          <w:color w:val="000000"/>
          <w:sz w:val="28"/>
          <w:szCs w:val="28"/>
        </w:rPr>
        <w:t>ScienceDirect review, 2025</w:t>
      </w:r>
    </w:p>
    <w:p w14:paraId="3989760C">
      <w:pPr>
        <w:pStyle w:val="style0"/>
        <w:spacing w:after="100" w:lineRule="auto" w:line="280"/>
        <w:jc w:val="both"/>
        <w:rPr/>
      </w:pPr>
      <w:r>
        <w:rPr>
          <w:rFonts w:ascii="Times New Roman" w:cs="Times New Roman" w:eastAsia="Times New Roman" w:hAnsi="Times New Roman"/>
          <w:b/>
          <w:bCs/>
          <w:color w:val="000000"/>
          <w:sz w:val="28"/>
          <w:szCs w:val="28"/>
        </w:rPr>
        <w:t xml:space="preserve">Objective: </w:t>
      </w:r>
      <w:r>
        <w:rPr>
          <w:rFonts w:ascii="Times New Roman" w:cs="Times New Roman" w:eastAsia="Times New Roman" w:hAnsi="Times New Roman"/>
          <w:color w:val="000000"/>
          <w:sz w:val="28"/>
          <w:szCs w:val="28"/>
        </w:rPr>
        <w:t>Synthesise how AI and IoT can be jointly applied across waste collection, sorting, and recycling in municipal settings.</w:t>
      </w:r>
    </w:p>
    <w:p w14:paraId="D7D46F97">
      <w:pPr>
        <w:pStyle w:val="style0"/>
        <w:spacing w:after="100" w:lineRule="auto" w:line="280"/>
        <w:jc w:val="both"/>
        <w:rPr/>
      </w:pPr>
      <w:r>
        <w:rPr>
          <w:rFonts w:ascii="Times New Roman" w:cs="Times New Roman" w:eastAsia="Times New Roman" w:hAnsi="Times New Roman"/>
          <w:b/>
          <w:bCs/>
          <w:color w:val="000000"/>
          <w:sz w:val="28"/>
          <w:szCs w:val="28"/>
        </w:rPr>
        <w:t xml:space="preserve">Methodology / Technology: </w:t>
      </w:r>
      <w:r>
        <w:rPr>
          <w:rFonts w:ascii="Times New Roman" w:cs="Times New Roman" w:eastAsia="Times New Roman" w:hAnsi="Times New Roman"/>
          <w:color w:val="000000"/>
          <w:sz w:val="28"/>
          <w:szCs w:val="28"/>
        </w:rPr>
        <w:t>Systematic literature review proposing an integrated AI+IoT framework covering route planning, predictive maintenance, and resource allocation.</w:t>
      </w:r>
    </w:p>
    <w:p w14:paraId="39084677">
      <w:pPr>
        <w:pStyle w:val="style0"/>
        <w:spacing w:after="100" w:lineRule="auto" w:line="280"/>
        <w:jc w:val="both"/>
        <w:rPr/>
      </w:pPr>
      <w:r>
        <w:rPr>
          <w:rFonts w:ascii="Times New Roman" w:cs="Times New Roman" w:eastAsia="Times New Roman" w:hAnsi="Times New Roman"/>
          <w:b/>
          <w:bCs/>
          <w:color w:val="000000"/>
          <w:sz w:val="28"/>
          <w:szCs w:val="28"/>
        </w:rPr>
        <w:t xml:space="preserve">Dataset / Tools: </w:t>
      </w:r>
      <w:r>
        <w:rPr>
          <w:rFonts w:ascii="Times New Roman" w:cs="Times New Roman" w:eastAsia="Times New Roman" w:hAnsi="Times New Roman"/>
          <w:color w:val="000000"/>
          <w:sz w:val="28"/>
          <w:szCs w:val="28"/>
        </w:rPr>
        <w:t>Not applicable — review/synthesis paper drawing on prior empirical studies.</w:t>
      </w:r>
    </w:p>
    <w:p w14:paraId="4E392B81">
      <w:pPr>
        <w:pStyle w:val="style0"/>
        <w:spacing w:after="100" w:lineRule="auto" w:line="280"/>
        <w:jc w:val="both"/>
        <w:rPr/>
      </w:pPr>
      <w:r>
        <w:rPr>
          <w:rFonts w:ascii="Times New Roman" w:cs="Times New Roman" w:eastAsia="Times New Roman" w:hAnsi="Times New Roman"/>
          <w:b/>
          <w:bCs/>
          <w:color w:val="000000"/>
          <w:sz w:val="28"/>
          <w:szCs w:val="28"/>
        </w:rPr>
        <w:t xml:space="preserve">Key Findings: </w:t>
      </w:r>
      <w:r>
        <w:rPr>
          <w:rFonts w:ascii="Times New Roman" w:cs="Times New Roman" w:eastAsia="Times New Roman" w:hAnsi="Times New Roman"/>
          <w:color w:val="000000"/>
          <w:sz w:val="28"/>
          <w:szCs w:val="28"/>
        </w:rPr>
        <w:t>Argues that the synergy between AI and IoT — rather than either technology alone — is the most under-explored and highest-value direction for adaptive, scalable waste systems.</w:t>
      </w:r>
    </w:p>
    <w:p w14:paraId="E7C2C119">
      <w:pPr>
        <w:pStyle w:val="style0"/>
        <w:spacing w:after="100" w:lineRule="auto" w:line="280"/>
        <w:jc w:val="both"/>
        <w:rPr/>
      </w:pPr>
      <w:r>
        <w:rPr>
          <w:rFonts w:ascii="Times New Roman" w:cs="Times New Roman" w:eastAsia="Times New Roman" w:hAnsi="Times New Roman"/>
          <w:b/>
          <w:bCs/>
          <w:color w:val="000000"/>
          <w:sz w:val="28"/>
          <w:szCs w:val="28"/>
        </w:rPr>
        <w:t xml:space="preserve">Limitations: </w:t>
      </w:r>
      <w:r>
        <w:rPr>
          <w:rFonts w:ascii="Times New Roman" w:cs="Times New Roman" w:eastAsia="Times New Roman" w:hAnsi="Times New Roman"/>
          <w:color w:val="000000"/>
          <w:sz w:val="28"/>
          <w:szCs w:val="28"/>
        </w:rPr>
        <w:t>As a review, it does not provide new experimental results; it also flags high upfront cost, data-privacy concerns, and technical integration barriers as unresolved.</w:t>
      </w:r>
    </w:p>
    <w:p w14:paraId="4AB9BE22">
      <w:pPr>
        <w:pStyle w:val="style0"/>
        <w:spacing w:before="260" w:after="100"/>
        <w:rPr/>
      </w:pPr>
      <w:r>
        <w:rPr>
          <w:rFonts w:ascii="Times New Roman" w:cs="Times New Roman" w:eastAsia="Times New Roman" w:hAnsi="Times New Roman"/>
          <w:b/>
          <w:bCs/>
          <w:color w:val="000000"/>
          <w:sz w:val="36"/>
          <w:szCs w:val="36"/>
        </w:rPr>
        <w:t>Paper 7: Artificial Intelligence and IoT for Smart Waste Management: Challenges, Opportunities, and Future Directions</w:t>
      </w:r>
    </w:p>
    <w:p w14:paraId="E4EB159B">
      <w:pPr>
        <w:pStyle w:val="style0"/>
        <w:spacing w:after="100" w:lineRule="auto" w:line="280"/>
        <w:jc w:val="both"/>
        <w:rPr/>
      </w:pPr>
      <w:r>
        <w:rPr>
          <w:rFonts w:ascii="Times New Roman" w:cs="Times New Roman" w:eastAsia="Times New Roman" w:hAnsi="Times New Roman"/>
          <w:b/>
          <w:bCs/>
          <w:color w:val="000000"/>
          <w:sz w:val="28"/>
          <w:szCs w:val="28"/>
        </w:rPr>
        <w:t xml:space="preserve">Author(s) / Year: </w:t>
      </w:r>
      <w:r>
        <w:rPr>
          <w:rFonts w:ascii="Times New Roman" w:cs="Times New Roman" w:eastAsia="Times New Roman" w:hAnsi="Times New Roman"/>
          <w:color w:val="000000"/>
          <w:sz w:val="28"/>
          <w:szCs w:val="28"/>
        </w:rPr>
        <w:t>ResearchGate-indexed study, 2025</w:t>
      </w:r>
    </w:p>
    <w:p w14:paraId="F01A6D22">
      <w:pPr>
        <w:pStyle w:val="style0"/>
        <w:spacing w:after="100" w:lineRule="auto" w:line="280"/>
        <w:jc w:val="both"/>
        <w:rPr/>
      </w:pPr>
      <w:r>
        <w:rPr>
          <w:rFonts w:ascii="Times New Roman" w:cs="Times New Roman" w:eastAsia="Times New Roman" w:hAnsi="Times New Roman"/>
          <w:b/>
          <w:bCs/>
          <w:color w:val="000000"/>
          <w:sz w:val="28"/>
          <w:szCs w:val="28"/>
        </w:rPr>
        <w:t xml:space="preserve">Objective: </w:t>
      </w:r>
      <w:r>
        <w:rPr>
          <w:rFonts w:ascii="Times New Roman" w:cs="Times New Roman" w:eastAsia="Times New Roman" w:hAnsi="Times New Roman"/>
          <w:color w:val="000000"/>
          <w:sz w:val="28"/>
          <w:szCs w:val="28"/>
        </w:rPr>
        <w:t>Examine the practical barriers to adopting AI-IoT waste management systems, with emphasis on developing-country contexts such as Indonesia.</w:t>
      </w:r>
    </w:p>
    <w:p w14:paraId="33B46FDB">
      <w:pPr>
        <w:pStyle w:val="style0"/>
        <w:spacing w:after="100" w:lineRule="auto" w:line="280"/>
        <w:jc w:val="both"/>
        <w:rPr/>
      </w:pPr>
      <w:r>
        <w:rPr>
          <w:rFonts w:ascii="Times New Roman" w:cs="Times New Roman" w:eastAsia="Times New Roman" w:hAnsi="Times New Roman"/>
          <w:b/>
          <w:bCs/>
          <w:color w:val="000000"/>
          <w:sz w:val="28"/>
          <w:szCs w:val="28"/>
        </w:rPr>
        <w:t xml:space="preserve">Methodology / Technology: </w:t>
      </w:r>
      <w:r>
        <w:rPr>
          <w:rFonts w:ascii="Times New Roman" w:cs="Times New Roman" w:eastAsia="Times New Roman" w:hAnsi="Times New Roman"/>
          <w:color w:val="000000"/>
          <w:sz w:val="28"/>
          <w:szCs w:val="28"/>
        </w:rPr>
        <w:t>Analytical/qualitative review of financial, ethical, regulatory, and workforce-impact barriers to AI adoption in waste management.</w:t>
      </w:r>
    </w:p>
    <w:p w14:paraId="3098A74B">
      <w:pPr>
        <w:pStyle w:val="style0"/>
        <w:spacing w:after="100" w:lineRule="auto" w:line="280"/>
        <w:jc w:val="both"/>
        <w:rPr/>
      </w:pPr>
      <w:r>
        <w:rPr>
          <w:rFonts w:ascii="Times New Roman" w:cs="Times New Roman" w:eastAsia="Times New Roman" w:hAnsi="Times New Roman"/>
          <w:b/>
          <w:bCs/>
          <w:color w:val="000000"/>
          <w:sz w:val="28"/>
          <w:szCs w:val="28"/>
        </w:rPr>
        <w:t xml:space="preserve">Dataset / Tools: </w:t>
      </w:r>
      <w:r>
        <w:rPr>
          <w:rFonts w:ascii="Times New Roman" w:cs="Times New Roman" w:eastAsia="Times New Roman" w:hAnsi="Times New Roman"/>
          <w:color w:val="000000"/>
          <w:sz w:val="28"/>
          <w:szCs w:val="28"/>
        </w:rPr>
        <w:t>Not applicable — analytical review paper.</w:t>
      </w:r>
    </w:p>
    <w:p w14:paraId="495AFBBA">
      <w:pPr>
        <w:pStyle w:val="style0"/>
        <w:spacing w:after="100" w:lineRule="auto" w:line="280"/>
        <w:jc w:val="both"/>
        <w:rPr/>
      </w:pPr>
      <w:r>
        <w:rPr>
          <w:rFonts w:ascii="Times New Roman" w:cs="Times New Roman" w:eastAsia="Times New Roman" w:hAnsi="Times New Roman"/>
          <w:b/>
          <w:bCs/>
          <w:color w:val="000000"/>
          <w:sz w:val="28"/>
          <w:szCs w:val="28"/>
        </w:rPr>
        <w:t xml:space="preserve">Key Findings: </w:t>
      </w:r>
      <w:r>
        <w:rPr>
          <w:rFonts w:ascii="Times New Roman" w:cs="Times New Roman" w:eastAsia="Times New Roman" w:hAnsi="Times New Roman"/>
          <w:color w:val="000000"/>
          <w:sz w:val="28"/>
          <w:szCs w:val="28"/>
        </w:rPr>
        <w:t>Identifies implementation cost, digital-infrastructure gaps, data accessibility/reliability, and privacy regulation as the dominant adoption barriers, particularly outside high-income economies.</w:t>
      </w:r>
    </w:p>
    <w:p w14:paraId="C47D9A32">
      <w:pPr>
        <w:pStyle w:val="style0"/>
        <w:spacing w:after="100" w:lineRule="auto" w:line="280"/>
        <w:jc w:val="both"/>
        <w:rPr/>
      </w:pPr>
      <w:r>
        <w:rPr>
          <w:rFonts w:ascii="Times New Roman" w:cs="Times New Roman" w:eastAsia="Times New Roman" w:hAnsi="Times New Roman"/>
          <w:b/>
          <w:bCs/>
          <w:color w:val="000000"/>
          <w:sz w:val="28"/>
          <w:szCs w:val="28"/>
        </w:rPr>
        <w:t xml:space="preserve">Limitations: </w:t>
      </w:r>
      <w:r>
        <w:rPr>
          <w:rFonts w:ascii="Times New Roman" w:cs="Times New Roman" w:eastAsia="Times New Roman" w:hAnsi="Times New Roman"/>
          <w:color w:val="000000"/>
          <w:sz w:val="28"/>
          <w:szCs w:val="28"/>
        </w:rPr>
        <w:t>Conclusions are largely qualitative and contextual; the paper does not benchmark specific AI models or quantify cost-benefit trade-offs.</w:t>
      </w:r>
    </w:p>
    <w:p w14:paraId="A4EC3EC8">
      <w:pPr>
        <w:pStyle w:val="style0"/>
        <w:spacing w:before="260" w:after="100"/>
        <w:rPr/>
      </w:pPr>
      <w:r>
        <w:rPr>
          <w:rFonts w:ascii="Times New Roman" w:cs="Times New Roman" w:eastAsia="Times New Roman" w:hAnsi="Times New Roman"/>
          <w:b/>
          <w:bCs/>
          <w:color w:val="000000"/>
          <w:sz w:val="36"/>
          <w:szCs w:val="36"/>
        </w:rPr>
        <w:t>Paper 8: IoT-Integrated AI Framework Using Genetic Algorithms for Waste Management in Smart Campuses (IoTGAWMS)</w:t>
      </w:r>
    </w:p>
    <w:p w14:paraId="21F8A844">
      <w:pPr>
        <w:pStyle w:val="style0"/>
        <w:spacing w:after="100" w:lineRule="auto" w:line="280"/>
        <w:jc w:val="both"/>
        <w:rPr/>
      </w:pPr>
      <w:r>
        <w:rPr>
          <w:rFonts w:ascii="Times New Roman" w:cs="Times New Roman" w:eastAsia="Times New Roman" w:hAnsi="Times New Roman"/>
          <w:b/>
          <w:bCs/>
          <w:color w:val="000000"/>
          <w:sz w:val="28"/>
          <w:szCs w:val="28"/>
        </w:rPr>
        <w:t xml:space="preserve">Author(s) / Year: </w:t>
      </w:r>
      <w:r>
        <w:rPr>
          <w:rFonts w:ascii="Times New Roman" w:cs="Times New Roman" w:eastAsia="Times New Roman" w:hAnsi="Times New Roman"/>
          <w:color w:val="000000"/>
          <w:sz w:val="28"/>
          <w:szCs w:val="28"/>
        </w:rPr>
        <w:t>ResearchGate-indexed study, 2020</w:t>
      </w:r>
    </w:p>
    <w:p w14:paraId="79F60634">
      <w:pPr>
        <w:pStyle w:val="style0"/>
        <w:spacing w:after="100" w:lineRule="auto" w:line="280"/>
        <w:jc w:val="both"/>
        <w:rPr/>
      </w:pPr>
      <w:r>
        <w:rPr>
          <w:rFonts w:ascii="Times New Roman" w:cs="Times New Roman" w:eastAsia="Times New Roman" w:hAnsi="Times New Roman"/>
          <w:b/>
          <w:bCs/>
          <w:color w:val="000000"/>
          <w:sz w:val="28"/>
          <w:szCs w:val="28"/>
        </w:rPr>
        <w:t xml:space="preserve">Objective: </w:t>
      </w:r>
      <w:r>
        <w:rPr>
          <w:rFonts w:ascii="Times New Roman" w:cs="Times New Roman" w:eastAsia="Times New Roman" w:hAnsi="Times New Roman"/>
          <w:color w:val="000000"/>
          <w:sz w:val="28"/>
          <w:szCs w:val="28"/>
        </w:rPr>
        <w:t>Optimise waste-collection routing and bin placement to reduce cost and inefficiency in a smart-campus setting.</w:t>
      </w:r>
    </w:p>
    <w:p w14:paraId="827EE649">
      <w:pPr>
        <w:pStyle w:val="style0"/>
        <w:spacing w:after="100" w:lineRule="auto" w:line="280"/>
        <w:jc w:val="both"/>
        <w:rPr/>
      </w:pPr>
      <w:r>
        <w:rPr>
          <w:rFonts w:ascii="Times New Roman" w:cs="Times New Roman" w:eastAsia="Times New Roman" w:hAnsi="Times New Roman"/>
          <w:b/>
          <w:bCs/>
          <w:color w:val="000000"/>
          <w:sz w:val="28"/>
          <w:szCs w:val="28"/>
        </w:rPr>
        <w:t xml:space="preserve">Methodology / Technology: </w:t>
      </w:r>
      <w:r>
        <w:rPr>
          <w:rFonts w:ascii="Times New Roman" w:cs="Times New Roman" w:eastAsia="Times New Roman" w:hAnsi="Times New Roman"/>
          <w:color w:val="000000"/>
          <w:sz w:val="28"/>
          <w:szCs w:val="28"/>
        </w:rPr>
        <w:t>IoT sensor network for bin status combined with a Genetic Algorithm (GA) that optimises collection routes and resource allocation.</w:t>
      </w:r>
    </w:p>
    <w:p w14:paraId="84CD802D">
      <w:pPr>
        <w:pStyle w:val="style0"/>
        <w:spacing w:after="100" w:lineRule="auto" w:line="280"/>
        <w:jc w:val="both"/>
        <w:rPr/>
      </w:pPr>
      <w:r>
        <w:rPr>
          <w:rFonts w:ascii="Times New Roman" w:cs="Times New Roman" w:eastAsia="Times New Roman" w:hAnsi="Times New Roman"/>
          <w:b/>
          <w:bCs/>
          <w:color w:val="000000"/>
          <w:sz w:val="28"/>
          <w:szCs w:val="28"/>
        </w:rPr>
        <w:t xml:space="preserve">Dataset / Tools: </w:t>
      </w:r>
      <w:r>
        <w:rPr>
          <w:rFonts w:ascii="Times New Roman" w:cs="Times New Roman" w:eastAsia="Times New Roman" w:hAnsi="Times New Roman"/>
          <w:color w:val="000000"/>
          <w:sz w:val="28"/>
          <w:szCs w:val="28"/>
        </w:rPr>
        <w:t>Smart-campus bin-fill and route data; Genetic Algorithm optimisation engine.</w:t>
      </w:r>
    </w:p>
    <w:p w14:paraId="27515B79">
      <w:pPr>
        <w:pStyle w:val="style0"/>
        <w:spacing w:after="100" w:lineRule="auto" w:line="280"/>
        <w:jc w:val="both"/>
        <w:rPr/>
      </w:pPr>
      <w:r>
        <w:rPr>
          <w:rFonts w:ascii="Times New Roman" w:cs="Times New Roman" w:eastAsia="Times New Roman" w:hAnsi="Times New Roman"/>
          <w:b/>
          <w:bCs/>
          <w:color w:val="000000"/>
          <w:sz w:val="28"/>
          <w:szCs w:val="28"/>
        </w:rPr>
        <w:t xml:space="preserve">Key Findings: </w:t>
      </w:r>
      <w:r>
        <w:rPr>
          <w:rFonts w:ascii="Times New Roman" w:cs="Times New Roman" w:eastAsia="Times New Roman" w:hAnsi="Times New Roman"/>
          <w:color w:val="000000"/>
          <w:sz w:val="28"/>
          <w:szCs w:val="28"/>
        </w:rPr>
        <w:t>GA-based route optimisation reduced inefficiencies associated with static, fixed collection schedules and improved overall resource utilisation.</w:t>
      </w:r>
    </w:p>
    <w:p w14:paraId="D59843C6">
      <w:pPr>
        <w:pStyle w:val="style0"/>
        <w:spacing w:after="100" w:lineRule="auto" w:line="280"/>
        <w:jc w:val="both"/>
        <w:rPr/>
      </w:pPr>
      <w:r>
        <w:rPr>
          <w:rFonts w:ascii="Times New Roman" w:cs="Times New Roman" w:eastAsia="Times New Roman" w:hAnsi="Times New Roman"/>
          <w:b/>
          <w:bCs/>
          <w:color w:val="000000"/>
          <w:sz w:val="28"/>
          <w:szCs w:val="28"/>
        </w:rPr>
        <w:t xml:space="preserve">Limitations: </w:t>
      </w:r>
      <w:r>
        <w:rPr>
          <w:rFonts w:ascii="Times New Roman" w:cs="Times New Roman" w:eastAsia="Times New Roman" w:hAnsi="Times New Roman"/>
          <w:color w:val="000000"/>
          <w:sz w:val="28"/>
          <w:szCs w:val="28"/>
        </w:rPr>
        <w:t>Validated only at campus scale with fairly homogeneous, predictable waste generation — not tested against the bulkier, irregular generation pattern typical of e-waste.</w:t>
      </w:r>
    </w:p>
    <w:p w14:paraId="8FEBF620">
      <w:pPr>
        <w:pStyle w:val="style4097"/>
        <w:spacing w:before="320" w:after="160"/>
        <w:rPr/>
      </w:pPr>
      <w:r>
        <w:t>3. Comparative Literature Survey Table</w:t>
      </w:r>
    </w:p>
    <w:p w14:paraId="84BD28FF">
      <w:pPr>
        <w:pStyle w:val="style0"/>
        <w:spacing w:after="160" w:lineRule="auto" w:line="300"/>
        <w:jc w:val="both"/>
        <w:rPr/>
      </w:pPr>
      <w:r>
        <w:rPr>
          <w:rFonts w:ascii="Times New Roman" w:cs="Times New Roman" w:eastAsia="Times New Roman" w:hAnsi="Times New Roman"/>
          <w:color w:val="000000"/>
          <w:sz w:val="28"/>
          <w:szCs w:val="28"/>
        </w:rPr>
        <w:t>The table below consolidates the eight reviewed papers across problem focus, methodology, tools/datasets, key findings, limitations, and the specific research gap each leaves open.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174"/>
        <w:gridCol w:w="1357"/>
        <w:gridCol w:w="1362"/>
        <w:gridCol w:w="1325"/>
        <w:gridCol w:w="1614"/>
        <w:gridCol w:w="1667"/>
        <w:gridCol w:w="1584"/>
      </w:tblGrid>
      <w:tr w14:paraId="B60D79A7">
        <w:trPr>
          <w:tblHeader/>
        </w:trPr>
        <w:tc>
          <w:tcPr>
            <w:tcW w:w="1080" w:type="dxa"/>
            <w:tcBorders/>
            <w:shd w:val="clear" w:color="auto" w:fill="1f3864"/>
            <w:tcMar>
              <w:top w:w="60" w:type="dxa"/>
              <w:left w:w="70" w:type="dxa"/>
              <w:bottom w:w="60" w:type="dxa"/>
              <w:right w:w="70" w:type="dxa"/>
            </w:tcMar>
            <w:vAlign w:val="center"/>
          </w:tcPr>
          <w:p w14:paraId="9B3C411A">
            <w:pPr>
              <w:pStyle w:val="style0"/>
              <w:spacing w:after="40"/>
              <w:rPr/>
            </w:pPr>
            <w:r>
              <w:rPr>
                <w:rFonts w:ascii="Times New Roman" w:cs="Times New Roman" w:eastAsia="Times New Roman" w:hAnsi="Times New Roman"/>
                <w:b/>
                <w:bCs/>
                <w:color w:val="ffffff"/>
                <w:sz w:val="16"/>
                <w:szCs w:val="16"/>
              </w:rPr>
              <w:t>Author / Year</w:t>
            </w:r>
          </w:p>
        </w:tc>
        <w:tc>
          <w:tcPr>
            <w:tcW w:w="1400" w:type="dxa"/>
            <w:tcBorders/>
            <w:shd w:val="clear" w:color="auto" w:fill="1f3864"/>
            <w:tcMar>
              <w:top w:w="60" w:type="dxa"/>
              <w:left w:w="70" w:type="dxa"/>
              <w:bottom w:w="60" w:type="dxa"/>
              <w:right w:w="70" w:type="dxa"/>
            </w:tcMar>
            <w:vAlign w:val="center"/>
          </w:tcPr>
          <w:p w14:paraId="F4436E3C">
            <w:pPr>
              <w:pStyle w:val="style0"/>
              <w:spacing w:after="40"/>
              <w:rPr/>
            </w:pPr>
            <w:r>
              <w:rPr>
                <w:rFonts w:ascii="Times New Roman" w:cs="Times New Roman" w:eastAsia="Times New Roman" w:hAnsi="Times New Roman"/>
                <w:b/>
                <w:bCs/>
                <w:color w:val="ffffff"/>
                <w:sz w:val="16"/>
                <w:szCs w:val="16"/>
              </w:rPr>
              <w:t>Research Problem</w:t>
            </w:r>
          </w:p>
        </w:tc>
        <w:tc>
          <w:tcPr>
            <w:tcW w:w="1400" w:type="dxa"/>
            <w:tcBorders/>
            <w:shd w:val="clear" w:color="auto" w:fill="1f3864"/>
            <w:tcMar>
              <w:top w:w="60" w:type="dxa"/>
              <w:left w:w="70" w:type="dxa"/>
              <w:bottom w:w="60" w:type="dxa"/>
              <w:right w:w="70" w:type="dxa"/>
            </w:tcMar>
            <w:vAlign w:val="center"/>
          </w:tcPr>
          <w:p w14:paraId="0A826A69">
            <w:pPr>
              <w:pStyle w:val="style0"/>
              <w:spacing w:after="40"/>
              <w:rPr/>
            </w:pPr>
            <w:r>
              <w:rPr>
                <w:rFonts w:ascii="Times New Roman" w:cs="Times New Roman" w:eastAsia="Times New Roman" w:hAnsi="Times New Roman"/>
                <w:b/>
                <w:bCs/>
                <w:color w:val="ffffff"/>
                <w:sz w:val="16"/>
                <w:szCs w:val="16"/>
              </w:rPr>
              <w:t>Methodology</w:t>
            </w:r>
          </w:p>
        </w:tc>
        <w:tc>
          <w:tcPr>
            <w:tcW w:w="1350" w:type="dxa"/>
            <w:tcBorders/>
            <w:shd w:val="clear" w:color="auto" w:fill="1f3864"/>
            <w:tcMar>
              <w:top w:w="60" w:type="dxa"/>
              <w:left w:w="70" w:type="dxa"/>
              <w:bottom w:w="60" w:type="dxa"/>
              <w:right w:w="70" w:type="dxa"/>
            </w:tcMar>
            <w:vAlign w:val="center"/>
          </w:tcPr>
          <w:p w14:paraId="F600FC1E">
            <w:pPr>
              <w:pStyle w:val="style0"/>
              <w:spacing w:after="40"/>
              <w:rPr/>
            </w:pPr>
            <w:r>
              <w:rPr>
                <w:rFonts w:ascii="Times New Roman" w:cs="Times New Roman" w:eastAsia="Times New Roman" w:hAnsi="Times New Roman"/>
                <w:b/>
                <w:bCs/>
                <w:color w:val="ffffff"/>
                <w:sz w:val="16"/>
                <w:szCs w:val="16"/>
              </w:rPr>
              <w:t>Dataset / Tools</w:t>
            </w:r>
          </w:p>
        </w:tc>
        <w:tc>
          <w:tcPr>
            <w:tcW w:w="1650" w:type="dxa"/>
            <w:tcBorders/>
            <w:shd w:val="clear" w:color="auto" w:fill="1f3864"/>
            <w:tcMar>
              <w:top w:w="60" w:type="dxa"/>
              <w:left w:w="70" w:type="dxa"/>
              <w:bottom w:w="60" w:type="dxa"/>
              <w:right w:w="70" w:type="dxa"/>
            </w:tcMar>
            <w:vAlign w:val="center"/>
          </w:tcPr>
          <w:p w14:paraId="CCE8CF63">
            <w:pPr>
              <w:pStyle w:val="style0"/>
              <w:spacing w:after="40"/>
              <w:rPr/>
            </w:pPr>
            <w:r>
              <w:rPr>
                <w:rFonts w:ascii="Times New Roman" w:cs="Times New Roman" w:eastAsia="Times New Roman" w:hAnsi="Times New Roman"/>
                <w:b/>
                <w:bCs/>
                <w:color w:val="ffffff"/>
                <w:sz w:val="16"/>
                <w:szCs w:val="16"/>
              </w:rPr>
              <w:t>Key Findings</w:t>
            </w:r>
          </w:p>
        </w:tc>
        <w:tc>
          <w:tcPr>
            <w:tcW w:w="1550" w:type="dxa"/>
            <w:tcBorders/>
            <w:shd w:val="clear" w:color="auto" w:fill="1f3864"/>
            <w:tcMar>
              <w:top w:w="60" w:type="dxa"/>
              <w:left w:w="70" w:type="dxa"/>
              <w:bottom w:w="60" w:type="dxa"/>
              <w:right w:w="70" w:type="dxa"/>
            </w:tcMar>
            <w:vAlign w:val="center"/>
          </w:tcPr>
          <w:p w14:paraId="9D20D943">
            <w:pPr>
              <w:pStyle w:val="style0"/>
              <w:spacing w:after="40"/>
              <w:rPr/>
            </w:pPr>
            <w:r>
              <w:rPr>
                <w:rFonts w:ascii="Times New Roman" w:cs="Times New Roman" w:eastAsia="Times New Roman" w:hAnsi="Times New Roman"/>
                <w:b/>
                <w:bCs/>
                <w:color w:val="ffffff"/>
                <w:sz w:val="16"/>
                <w:szCs w:val="16"/>
              </w:rPr>
              <w:t>Limitations</w:t>
            </w:r>
          </w:p>
        </w:tc>
        <w:tc>
          <w:tcPr>
            <w:tcW w:w="1650" w:type="dxa"/>
            <w:tcBorders/>
            <w:shd w:val="clear" w:color="auto" w:fill="1f3864"/>
            <w:tcMar>
              <w:top w:w="60" w:type="dxa"/>
              <w:left w:w="70" w:type="dxa"/>
              <w:bottom w:w="60" w:type="dxa"/>
              <w:right w:w="70" w:type="dxa"/>
            </w:tcMar>
            <w:vAlign w:val="center"/>
          </w:tcPr>
          <w:p w14:paraId="F987C63F">
            <w:pPr>
              <w:pStyle w:val="style0"/>
              <w:spacing w:after="40"/>
              <w:rPr/>
            </w:pPr>
            <w:r>
              <w:rPr>
                <w:rFonts w:ascii="Times New Roman" w:cs="Times New Roman" w:eastAsia="Times New Roman" w:hAnsi="Times New Roman"/>
                <w:b/>
                <w:bCs/>
                <w:color w:val="ffffff"/>
                <w:sz w:val="16"/>
                <w:szCs w:val="16"/>
              </w:rPr>
              <w:t>Research Gap</w:t>
            </w:r>
          </w:p>
        </w:tc>
      </w:tr>
      <w:tr w14:paraId="5B1EB92C">
        <w:tblPrEx/>
        <w:trPr/>
        <w:tc>
          <w:tcPr>
            <w:tcW w:w="1080" w:type="dxa"/>
            <w:tcBorders/>
            <w:tcMar>
              <w:top w:w="60" w:type="dxa"/>
              <w:left w:w="70" w:type="dxa"/>
              <w:bottom w:w="60" w:type="dxa"/>
              <w:right w:w="70" w:type="dxa"/>
            </w:tcMar>
            <w:vAlign w:val="center"/>
          </w:tcPr>
          <w:p w14:paraId="E1A0A5BE">
            <w:pPr>
              <w:pStyle w:val="style0"/>
              <w:spacing w:after="40"/>
              <w:rPr/>
            </w:pPr>
            <w:r>
              <w:rPr>
                <w:rFonts w:ascii="Times New Roman" w:cs="Times New Roman" w:eastAsia="Times New Roman" w:hAnsi="Times New Roman"/>
                <w:b w:val="false"/>
                <w:bCs w:val="false"/>
                <w:color w:val="000000"/>
                <w:sz w:val="15"/>
                <w:szCs w:val="15"/>
              </w:rPr>
              <w:t>Voskergian &amp; Ishaq (2023)</w:t>
            </w:r>
          </w:p>
        </w:tc>
        <w:tc>
          <w:tcPr>
            <w:tcW w:w="1400" w:type="dxa"/>
            <w:tcBorders/>
            <w:tcMar>
              <w:top w:w="60" w:type="dxa"/>
              <w:left w:w="70" w:type="dxa"/>
              <w:bottom w:w="60" w:type="dxa"/>
              <w:right w:w="70" w:type="dxa"/>
            </w:tcMar>
            <w:vAlign w:val="center"/>
          </w:tcPr>
          <w:p w14:paraId="F197CDF8">
            <w:pPr>
              <w:pStyle w:val="style0"/>
              <w:spacing w:after="40"/>
              <w:rPr/>
            </w:pPr>
            <w:r>
              <w:rPr>
                <w:rFonts w:ascii="Times New Roman" w:cs="Times New Roman" w:eastAsia="Times New Roman" w:hAnsi="Times New Roman"/>
                <w:b w:val="false"/>
                <w:bCs w:val="false"/>
                <w:color w:val="000000"/>
                <w:sz w:val="15"/>
                <w:szCs w:val="15"/>
              </w:rPr>
              <w:t>Real-time e-waste identification and bin-status monitoring</w:t>
            </w:r>
          </w:p>
        </w:tc>
        <w:tc>
          <w:tcPr>
            <w:tcW w:w="1400" w:type="dxa"/>
            <w:tcBorders/>
            <w:tcMar>
              <w:top w:w="60" w:type="dxa"/>
              <w:left w:w="70" w:type="dxa"/>
              <w:bottom w:w="60" w:type="dxa"/>
              <w:right w:w="70" w:type="dxa"/>
            </w:tcMar>
            <w:vAlign w:val="center"/>
          </w:tcPr>
          <w:p w14:paraId="AB73D7BD">
            <w:pPr>
              <w:pStyle w:val="style0"/>
              <w:spacing w:after="40"/>
              <w:rPr/>
            </w:pPr>
            <w:r>
              <w:rPr>
                <w:rFonts w:ascii="Times New Roman" w:cs="Times New Roman" w:eastAsia="Times New Roman" w:hAnsi="Times New Roman"/>
                <w:b w:val="false"/>
                <w:bCs w:val="false"/>
                <w:color w:val="000000"/>
                <w:sz w:val="15"/>
                <w:szCs w:val="15"/>
              </w:rPr>
              <w:t>IoT sensor network + TensorFlow Lite object detection</w:t>
            </w:r>
          </w:p>
        </w:tc>
        <w:tc>
          <w:tcPr>
            <w:tcW w:w="1350" w:type="dxa"/>
            <w:tcBorders/>
            <w:tcMar>
              <w:top w:w="60" w:type="dxa"/>
              <w:left w:w="70" w:type="dxa"/>
              <w:bottom w:w="60" w:type="dxa"/>
              <w:right w:w="70" w:type="dxa"/>
            </w:tcMar>
            <w:vAlign w:val="center"/>
          </w:tcPr>
          <w:p w14:paraId="776801CC">
            <w:pPr>
              <w:pStyle w:val="style0"/>
              <w:spacing w:after="40"/>
              <w:rPr/>
            </w:pPr>
            <w:r>
              <w:rPr>
                <w:rFonts w:ascii="Times New Roman" w:cs="Times New Roman" w:eastAsia="Times New Roman" w:hAnsi="Times New Roman"/>
                <w:b w:val="false"/>
                <w:bCs w:val="false"/>
                <w:color w:val="000000"/>
                <w:sz w:val="15"/>
                <w:szCs w:val="15"/>
              </w:rPr>
              <w:t>Custom e-waste image set; embedded microcontroller sensors</w:t>
            </w:r>
          </w:p>
        </w:tc>
        <w:tc>
          <w:tcPr>
            <w:tcW w:w="1650" w:type="dxa"/>
            <w:tcBorders/>
            <w:tcMar>
              <w:top w:w="60" w:type="dxa"/>
              <w:left w:w="70" w:type="dxa"/>
              <w:bottom w:w="60" w:type="dxa"/>
              <w:right w:w="70" w:type="dxa"/>
            </w:tcMar>
            <w:vAlign w:val="center"/>
          </w:tcPr>
          <w:p w14:paraId="48B4F8E3">
            <w:pPr>
              <w:pStyle w:val="style0"/>
              <w:spacing w:after="40"/>
              <w:rPr/>
            </w:pPr>
            <w:r>
              <w:rPr>
                <w:rFonts w:ascii="Times New Roman" w:cs="Times New Roman" w:eastAsia="Times New Roman" w:hAnsi="Times New Roman"/>
                <w:b w:val="false"/>
                <w:bCs w:val="false"/>
                <w:color w:val="000000"/>
                <w:sz w:val="15"/>
                <w:szCs w:val="15"/>
              </w:rPr>
              <w:t>Combined bin monitoring with on-device object detection to give a fuller picture of e-waste flow</w:t>
            </w:r>
          </w:p>
        </w:tc>
        <w:tc>
          <w:tcPr>
            <w:tcW w:w="1550" w:type="dxa"/>
            <w:tcBorders/>
            <w:tcMar>
              <w:top w:w="60" w:type="dxa"/>
              <w:left w:w="70" w:type="dxa"/>
              <w:bottom w:w="60" w:type="dxa"/>
              <w:right w:w="70" w:type="dxa"/>
            </w:tcMar>
            <w:vAlign w:val="center"/>
          </w:tcPr>
          <w:p w14:paraId="6C77820C">
            <w:pPr>
              <w:pStyle w:val="style0"/>
              <w:spacing w:after="40"/>
              <w:rPr/>
            </w:pPr>
            <w:r>
              <w:rPr>
                <w:rFonts w:ascii="Times New Roman" w:cs="Times New Roman" w:eastAsia="Times New Roman" w:hAnsi="Times New Roman"/>
                <w:b w:val="false"/>
                <w:bCs w:val="false"/>
                <w:color w:val="000000"/>
                <w:sz w:val="15"/>
                <w:szCs w:val="15"/>
              </w:rPr>
              <w:t>Edge-device model limited by processing power; small, non-diverse image set</w:t>
            </w:r>
          </w:p>
        </w:tc>
        <w:tc>
          <w:tcPr>
            <w:tcW w:w="1650" w:type="dxa"/>
            <w:tcBorders/>
            <w:tcMar>
              <w:top w:w="60" w:type="dxa"/>
              <w:left w:w="70" w:type="dxa"/>
              <w:bottom w:w="60" w:type="dxa"/>
              <w:right w:w="70" w:type="dxa"/>
            </w:tcMar>
            <w:vAlign w:val="center"/>
          </w:tcPr>
          <w:p w14:paraId="E392297F">
            <w:pPr>
              <w:pStyle w:val="style0"/>
              <w:spacing w:after="40"/>
              <w:rPr/>
            </w:pPr>
            <w:r>
              <w:rPr>
                <w:rFonts w:ascii="Times New Roman" w:cs="Times New Roman" w:eastAsia="Times New Roman" w:hAnsi="Times New Roman"/>
                <w:b w:val="false"/>
                <w:bCs w:val="false"/>
                <w:color w:val="000000"/>
                <w:sz w:val="15"/>
                <w:szCs w:val="15"/>
              </w:rPr>
              <w:t>No integration with collector routing or recycler-side logistics</w:t>
            </w:r>
          </w:p>
        </w:tc>
      </w:tr>
      <w:tr w14:paraId="D89CB53C">
        <w:tblPrEx/>
        <w:trPr/>
        <w:tc>
          <w:tcPr>
            <w:tcW w:w="1080" w:type="dxa"/>
            <w:tcBorders/>
            <w:shd w:val="clear" w:color="auto" w:fill="f2f2f2"/>
            <w:tcMar>
              <w:top w:w="60" w:type="dxa"/>
              <w:left w:w="70" w:type="dxa"/>
              <w:bottom w:w="60" w:type="dxa"/>
              <w:right w:w="70" w:type="dxa"/>
            </w:tcMar>
            <w:vAlign w:val="center"/>
          </w:tcPr>
          <w:p w14:paraId="2C9407FD">
            <w:pPr>
              <w:pStyle w:val="style0"/>
              <w:spacing w:after="40"/>
              <w:rPr/>
            </w:pPr>
            <w:r>
              <w:rPr>
                <w:rFonts w:ascii="Times New Roman" w:cs="Times New Roman" w:eastAsia="Times New Roman" w:hAnsi="Times New Roman"/>
                <w:b w:val="false"/>
                <w:bCs w:val="false"/>
                <w:color w:val="000000"/>
                <w:sz w:val="15"/>
                <w:szCs w:val="15"/>
              </w:rPr>
              <w:t>Nowakowski et al. (2020)</w:t>
            </w:r>
          </w:p>
        </w:tc>
        <w:tc>
          <w:tcPr>
            <w:tcW w:w="1400" w:type="dxa"/>
            <w:tcBorders/>
            <w:shd w:val="clear" w:color="auto" w:fill="f2f2f2"/>
            <w:tcMar>
              <w:top w:w="60" w:type="dxa"/>
              <w:left w:w="70" w:type="dxa"/>
              <w:bottom w:w="60" w:type="dxa"/>
              <w:right w:w="70" w:type="dxa"/>
            </w:tcMar>
            <w:vAlign w:val="center"/>
          </w:tcPr>
          <w:p w14:paraId="E8F5349E">
            <w:pPr>
              <w:pStyle w:val="style0"/>
              <w:spacing w:after="40"/>
              <w:rPr/>
            </w:pPr>
            <w:r>
              <w:rPr>
                <w:rFonts w:ascii="Times New Roman" w:cs="Times New Roman" w:eastAsia="Times New Roman" w:hAnsi="Times New Roman"/>
                <w:b w:val="false"/>
                <w:bCs w:val="false"/>
                <w:color w:val="000000"/>
                <w:sz w:val="15"/>
                <w:szCs w:val="15"/>
              </w:rPr>
              <w:t>Improving e-waste collection planning via image-based identification</w:t>
            </w:r>
          </w:p>
        </w:tc>
        <w:tc>
          <w:tcPr>
            <w:tcW w:w="1400" w:type="dxa"/>
            <w:tcBorders/>
            <w:shd w:val="clear" w:color="auto" w:fill="f2f2f2"/>
            <w:tcMar>
              <w:top w:w="60" w:type="dxa"/>
              <w:left w:w="70" w:type="dxa"/>
              <w:bottom w:w="60" w:type="dxa"/>
              <w:right w:w="70" w:type="dxa"/>
            </w:tcMar>
            <w:vAlign w:val="center"/>
          </w:tcPr>
          <w:p w14:paraId="A78DAC26">
            <w:pPr>
              <w:pStyle w:val="style0"/>
              <w:spacing w:after="40"/>
              <w:rPr/>
            </w:pPr>
            <w:r>
              <w:rPr>
                <w:rFonts w:ascii="Times New Roman" w:cs="Times New Roman" w:eastAsia="Times New Roman" w:hAnsi="Times New Roman"/>
                <w:b w:val="false"/>
                <w:bCs w:val="false"/>
                <w:color w:val="000000"/>
                <w:sz w:val="15"/>
                <w:szCs w:val="15"/>
              </w:rPr>
              <w:t>CNN classifier + Faster R-CNN for category/size detection, mobile-to-server pipeline</w:t>
            </w:r>
          </w:p>
        </w:tc>
        <w:tc>
          <w:tcPr>
            <w:tcW w:w="1350" w:type="dxa"/>
            <w:tcBorders/>
            <w:shd w:val="clear" w:color="auto" w:fill="f2f2f2"/>
            <w:tcMar>
              <w:top w:w="60" w:type="dxa"/>
              <w:left w:w="70" w:type="dxa"/>
              <w:bottom w:w="60" w:type="dxa"/>
              <w:right w:w="70" w:type="dxa"/>
            </w:tcMar>
            <w:vAlign w:val="center"/>
          </w:tcPr>
          <w:p w14:paraId="68C62D4B">
            <w:pPr>
              <w:pStyle w:val="style0"/>
              <w:spacing w:after="40"/>
              <w:rPr/>
            </w:pPr>
            <w:r>
              <w:rPr>
                <w:rFonts w:ascii="Times New Roman" w:cs="Times New Roman" w:eastAsia="Times New Roman" w:hAnsi="Times New Roman"/>
                <w:b w:val="false"/>
                <w:bCs w:val="false"/>
                <w:color w:val="000000"/>
                <w:sz w:val="15"/>
                <w:szCs w:val="15"/>
              </w:rPr>
              <w:t>180 labelled e-waste images</w:t>
            </w:r>
          </w:p>
        </w:tc>
        <w:tc>
          <w:tcPr>
            <w:tcW w:w="1650" w:type="dxa"/>
            <w:tcBorders/>
            <w:shd w:val="clear" w:color="auto" w:fill="f2f2f2"/>
            <w:tcMar>
              <w:top w:w="60" w:type="dxa"/>
              <w:left w:w="70" w:type="dxa"/>
              <w:bottom w:w="60" w:type="dxa"/>
              <w:right w:w="70" w:type="dxa"/>
            </w:tcMar>
            <w:vAlign w:val="center"/>
          </w:tcPr>
          <w:p w14:paraId="1FCBAB49">
            <w:pPr>
              <w:pStyle w:val="style0"/>
              <w:spacing w:after="40"/>
              <w:rPr/>
            </w:pPr>
            <w:r>
              <w:rPr>
                <w:rFonts w:ascii="Times New Roman" w:cs="Times New Roman" w:eastAsia="Times New Roman" w:hAnsi="Times New Roman"/>
                <w:b w:val="false"/>
                <w:bCs w:val="false"/>
                <w:color w:val="000000"/>
                <w:sz w:val="15"/>
                <w:szCs w:val="15"/>
              </w:rPr>
              <w:t>Achieved 90–97% classification accuracy, enabling smarter collection-point planning</w:t>
            </w:r>
          </w:p>
        </w:tc>
        <w:tc>
          <w:tcPr>
            <w:tcW w:w="1550" w:type="dxa"/>
            <w:tcBorders/>
            <w:shd w:val="clear" w:color="auto" w:fill="f2f2f2"/>
            <w:tcMar>
              <w:top w:w="60" w:type="dxa"/>
              <w:left w:w="70" w:type="dxa"/>
              <w:bottom w:w="60" w:type="dxa"/>
              <w:right w:w="70" w:type="dxa"/>
            </w:tcMar>
            <w:vAlign w:val="center"/>
          </w:tcPr>
          <w:p w14:paraId="1369706B">
            <w:pPr>
              <w:pStyle w:val="style0"/>
              <w:spacing w:after="40"/>
              <w:rPr/>
            </w:pPr>
            <w:r>
              <w:rPr>
                <w:rFonts w:ascii="Times New Roman" w:cs="Times New Roman" w:eastAsia="Times New Roman" w:hAnsi="Times New Roman"/>
                <w:b w:val="false"/>
                <w:bCs w:val="false"/>
                <w:color w:val="000000"/>
                <w:sz w:val="15"/>
                <w:szCs w:val="15"/>
              </w:rPr>
              <w:t>Very small training set limits generalisability across device types</w:t>
            </w:r>
          </w:p>
        </w:tc>
        <w:tc>
          <w:tcPr>
            <w:tcW w:w="1650" w:type="dxa"/>
            <w:tcBorders/>
            <w:shd w:val="clear" w:color="auto" w:fill="f2f2f2"/>
            <w:tcMar>
              <w:top w:w="60" w:type="dxa"/>
              <w:left w:w="70" w:type="dxa"/>
              <w:bottom w:w="60" w:type="dxa"/>
              <w:right w:w="70" w:type="dxa"/>
            </w:tcMar>
            <w:vAlign w:val="center"/>
          </w:tcPr>
          <w:p w14:paraId="4FF8582F">
            <w:pPr>
              <w:pStyle w:val="style0"/>
              <w:spacing w:after="40"/>
              <w:rPr/>
            </w:pPr>
            <w:r>
              <w:rPr>
                <w:rFonts w:ascii="Times New Roman" w:cs="Times New Roman" w:eastAsia="Times New Roman" w:hAnsi="Times New Roman"/>
                <w:b w:val="false"/>
                <w:bCs w:val="false"/>
                <w:color w:val="000000"/>
                <w:sz w:val="15"/>
                <w:szCs w:val="15"/>
              </w:rPr>
              <w:t>Scalability to large, heterogeneous e-waste streams untested</w:t>
            </w:r>
          </w:p>
        </w:tc>
      </w:tr>
      <w:tr w14:paraId="2B7F88B4">
        <w:tblPrEx/>
        <w:trPr/>
        <w:tc>
          <w:tcPr>
            <w:tcW w:w="1080" w:type="dxa"/>
            <w:tcBorders/>
            <w:tcMar>
              <w:top w:w="60" w:type="dxa"/>
              <w:left w:w="70" w:type="dxa"/>
              <w:bottom w:w="60" w:type="dxa"/>
              <w:right w:w="70" w:type="dxa"/>
            </w:tcMar>
            <w:vAlign w:val="center"/>
          </w:tcPr>
          <w:p w14:paraId="B214AF84">
            <w:pPr>
              <w:pStyle w:val="style0"/>
              <w:spacing w:after="40"/>
              <w:rPr/>
            </w:pPr>
            <w:r>
              <w:rPr>
                <w:rFonts w:ascii="Times New Roman" w:cs="Times New Roman" w:eastAsia="Times New Roman" w:hAnsi="Times New Roman"/>
                <w:b w:val="false"/>
                <w:bCs w:val="false"/>
                <w:color w:val="000000"/>
                <w:sz w:val="15"/>
                <w:szCs w:val="15"/>
              </w:rPr>
              <w:t>Springer, E-waste Classification with YOLOv7 (2024)</w:t>
            </w:r>
          </w:p>
        </w:tc>
        <w:tc>
          <w:tcPr>
            <w:tcW w:w="1400" w:type="dxa"/>
            <w:tcBorders/>
            <w:tcMar>
              <w:top w:w="60" w:type="dxa"/>
              <w:left w:w="70" w:type="dxa"/>
              <w:bottom w:w="60" w:type="dxa"/>
              <w:right w:w="70" w:type="dxa"/>
            </w:tcMar>
            <w:vAlign w:val="center"/>
          </w:tcPr>
          <w:p w14:paraId="DDEA8B7B">
            <w:pPr>
              <w:pStyle w:val="style0"/>
              <w:spacing w:after="40"/>
              <w:rPr/>
            </w:pPr>
            <w:r>
              <w:rPr>
                <w:rFonts w:ascii="Times New Roman" w:cs="Times New Roman" w:eastAsia="Times New Roman" w:hAnsi="Times New Roman"/>
                <w:b w:val="false"/>
                <w:bCs w:val="false"/>
                <w:color w:val="000000"/>
                <w:sz w:val="15"/>
                <w:szCs w:val="15"/>
              </w:rPr>
              <w:t>Fine-grained detection and classification of e-waste components</w:t>
            </w:r>
          </w:p>
        </w:tc>
        <w:tc>
          <w:tcPr>
            <w:tcW w:w="1400" w:type="dxa"/>
            <w:tcBorders/>
            <w:tcMar>
              <w:top w:w="60" w:type="dxa"/>
              <w:left w:w="70" w:type="dxa"/>
              <w:bottom w:w="60" w:type="dxa"/>
              <w:right w:w="70" w:type="dxa"/>
            </w:tcMar>
            <w:vAlign w:val="center"/>
          </w:tcPr>
          <w:p w14:paraId="B9305504">
            <w:pPr>
              <w:pStyle w:val="style0"/>
              <w:spacing w:after="40"/>
              <w:rPr/>
            </w:pPr>
            <w:r>
              <w:rPr>
                <w:rFonts w:ascii="Times New Roman" w:cs="Times New Roman" w:eastAsia="Times New Roman" w:hAnsi="Times New Roman"/>
                <w:b w:val="false"/>
                <w:bCs w:val="false"/>
                <w:color w:val="000000"/>
                <w:sz w:val="15"/>
                <w:szCs w:val="15"/>
              </w:rPr>
              <w:t>YOLOv7 for detection + pre-trained CNN for component-level classification</w:t>
            </w:r>
          </w:p>
        </w:tc>
        <w:tc>
          <w:tcPr>
            <w:tcW w:w="1350" w:type="dxa"/>
            <w:tcBorders/>
            <w:tcMar>
              <w:top w:w="60" w:type="dxa"/>
              <w:left w:w="70" w:type="dxa"/>
              <w:bottom w:w="60" w:type="dxa"/>
              <w:right w:w="70" w:type="dxa"/>
            </w:tcMar>
            <w:vAlign w:val="center"/>
          </w:tcPr>
          <w:p w14:paraId="F263D441">
            <w:pPr>
              <w:pStyle w:val="style0"/>
              <w:spacing w:after="40"/>
              <w:rPr/>
            </w:pPr>
            <w:r>
              <w:rPr>
                <w:rFonts w:ascii="Times New Roman" w:cs="Times New Roman" w:eastAsia="Times New Roman" w:hAnsi="Times New Roman"/>
                <w:b w:val="false"/>
                <w:bCs w:val="false"/>
                <w:color w:val="000000"/>
                <w:sz w:val="15"/>
                <w:szCs w:val="15"/>
              </w:rPr>
              <w:t>Annotated e-waste image dataset</w:t>
            </w:r>
          </w:p>
        </w:tc>
        <w:tc>
          <w:tcPr>
            <w:tcW w:w="1650" w:type="dxa"/>
            <w:tcBorders/>
            <w:tcMar>
              <w:top w:w="60" w:type="dxa"/>
              <w:left w:w="70" w:type="dxa"/>
              <w:bottom w:w="60" w:type="dxa"/>
              <w:right w:w="70" w:type="dxa"/>
            </w:tcMar>
            <w:vAlign w:val="center"/>
          </w:tcPr>
          <w:p w14:paraId="C2C5B3D2">
            <w:pPr>
              <w:pStyle w:val="style0"/>
              <w:spacing w:after="40"/>
              <w:rPr/>
            </w:pPr>
            <w:r>
              <w:rPr>
                <w:rFonts w:ascii="Times New Roman" w:cs="Times New Roman" w:eastAsia="Times New Roman" w:hAnsi="Times New Roman"/>
                <w:b w:val="false"/>
                <w:bCs w:val="false"/>
                <w:color w:val="000000"/>
                <w:sz w:val="15"/>
                <w:szCs w:val="15"/>
              </w:rPr>
              <w:t>93.5% mAP for detection and 99.7% accuracy for downstream classification</w:t>
            </w:r>
          </w:p>
        </w:tc>
        <w:tc>
          <w:tcPr>
            <w:tcW w:w="1550" w:type="dxa"/>
            <w:tcBorders/>
            <w:tcMar>
              <w:top w:w="60" w:type="dxa"/>
              <w:left w:w="70" w:type="dxa"/>
              <w:bottom w:w="60" w:type="dxa"/>
              <w:right w:w="70" w:type="dxa"/>
            </w:tcMar>
            <w:vAlign w:val="center"/>
          </w:tcPr>
          <w:p w14:paraId="A0C20DDD">
            <w:pPr>
              <w:pStyle w:val="style0"/>
              <w:spacing w:after="40"/>
              <w:rPr/>
            </w:pPr>
            <w:r>
              <w:rPr>
                <w:rFonts w:ascii="Times New Roman" w:cs="Times New Roman" w:eastAsia="Times New Roman" w:hAnsi="Times New Roman"/>
                <w:b w:val="false"/>
                <w:bCs w:val="false"/>
                <w:color w:val="000000"/>
                <w:sz w:val="15"/>
                <w:szCs w:val="15"/>
              </w:rPr>
              <w:t>High accuracy reported on a curated dataset; real-world clutter/occlusion not addressed</w:t>
            </w:r>
          </w:p>
        </w:tc>
        <w:tc>
          <w:tcPr>
            <w:tcW w:w="1650" w:type="dxa"/>
            <w:tcBorders/>
            <w:tcMar>
              <w:top w:w="60" w:type="dxa"/>
              <w:left w:w="70" w:type="dxa"/>
              <w:bottom w:w="60" w:type="dxa"/>
              <w:right w:w="70" w:type="dxa"/>
            </w:tcMar>
            <w:vAlign w:val="center"/>
          </w:tcPr>
          <w:p w14:paraId="1BA3543C">
            <w:pPr>
              <w:pStyle w:val="style0"/>
              <w:spacing w:after="40"/>
              <w:rPr/>
            </w:pPr>
            <w:r>
              <w:rPr>
                <w:rFonts w:ascii="Times New Roman" w:cs="Times New Roman" w:eastAsia="Times New Roman" w:hAnsi="Times New Roman"/>
                <w:b w:val="false"/>
                <w:bCs w:val="false"/>
                <w:color w:val="000000"/>
                <w:sz w:val="15"/>
                <w:szCs w:val="15"/>
              </w:rPr>
              <w:t>No cost or throughput analysis for deployment on collection lines</w:t>
            </w:r>
          </w:p>
        </w:tc>
      </w:tr>
      <w:tr w14:paraId="26060958">
        <w:tblPrEx/>
        <w:trPr/>
        <w:tc>
          <w:tcPr>
            <w:tcW w:w="1080" w:type="dxa"/>
            <w:tcBorders/>
            <w:shd w:val="clear" w:color="auto" w:fill="f2f2f2"/>
            <w:tcMar>
              <w:top w:w="60" w:type="dxa"/>
              <w:left w:w="70" w:type="dxa"/>
              <w:bottom w:w="60" w:type="dxa"/>
              <w:right w:w="70" w:type="dxa"/>
            </w:tcMar>
            <w:vAlign w:val="center"/>
          </w:tcPr>
          <w:p w14:paraId="84EF0A50">
            <w:pPr>
              <w:pStyle w:val="style0"/>
              <w:spacing w:after="40"/>
              <w:rPr/>
            </w:pPr>
            <w:r>
              <w:rPr>
                <w:rFonts w:ascii="Times New Roman" w:cs="Times New Roman" w:eastAsia="Times New Roman" w:hAnsi="Times New Roman"/>
                <w:b w:val="false"/>
                <w:bCs w:val="false"/>
                <w:color w:val="000000"/>
                <w:sz w:val="15"/>
                <w:szCs w:val="15"/>
              </w:rPr>
              <w:t>Green Grid (arXiv, 2025)</w:t>
            </w:r>
          </w:p>
        </w:tc>
        <w:tc>
          <w:tcPr>
            <w:tcW w:w="1400" w:type="dxa"/>
            <w:tcBorders/>
            <w:shd w:val="clear" w:color="auto" w:fill="f2f2f2"/>
            <w:tcMar>
              <w:top w:w="60" w:type="dxa"/>
              <w:left w:w="70" w:type="dxa"/>
              <w:bottom w:w="60" w:type="dxa"/>
              <w:right w:w="70" w:type="dxa"/>
            </w:tcMar>
            <w:vAlign w:val="center"/>
          </w:tcPr>
          <w:p w14:paraId="79F36C41">
            <w:pPr>
              <w:pStyle w:val="style0"/>
              <w:spacing w:after="40"/>
              <w:rPr/>
            </w:pPr>
            <w:r>
              <w:rPr>
                <w:rFonts w:ascii="Times New Roman" w:cs="Times New Roman" w:eastAsia="Times New Roman" w:hAnsi="Times New Roman"/>
                <w:b w:val="false"/>
                <w:bCs w:val="false"/>
                <w:color w:val="000000"/>
                <w:sz w:val="15"/>
                <w:szCs w:val="15"/>
              </w:rPr>
              <w:t>Automated sorting of e-waste for refurbishment vs. material recovery</w:t>
            </w:r>
          </w:p>
        </w:tc>
        <w:tc>
          <w:tcPr>
            <w:tcW w:w="1400" w:type="dxa"/>
            <w:tcBorders/>
            <w:shd w:val="clear" w:color="auto" w:fill="f2f2f2"/>
            <w:tcMar>
              <w:top w:w="60" w:type="dxa"/>
              <w:left w:w="70" w:type="dxa"/>
              <w:bottom w:w="60" w:type="dxa"/>
              <w:right w:w="70" w:type="dxa"/>
            </w:tcMar>
            <w:vAlign w:val="center"/>
          </w:tcPr>
          <w:p w14:paraId="6015A339">
            <w:pPr>
              <w:pStyle w:val="style0"/>
              <w:spacing w:after="40"/>
              <w:rPr/>
            </w:pPr>
            <w:r>
              <w:rPr>
                <w:rFonts w:ascii="Times New Roman" w:cs="Times New Roman" w:eastAsia="Times New Roman" w:hAnsi="Times New Roman"/>
                <w:b w:val="false"/>
                <w:bCs w:val="false"/>
                <w:color w:val="000000"/>
                <w:sz w:val="15"/>
                <w:szCs w:val="15"/>
              </w:rPr>
              <w:t>YOLO/ResNet-based AI vision module analysing images or X-ray scans, integrated with device tracking</w:t>
            </w:r>
          </w:p>
        </w:tc>
        <w:tc>
          <w:tcPr>
            <w:tcW w:w="1350" w:type="dxa"/>
            <w:tcBorders/>
            <w:shd w:val="clear" w:color="auto" w:fill="f2f2f2"/>
            <w:tcMar>
              <w:top w:w="60" w:type="dxa"/>
              <w:left w:w="70" w:type="dxa"/>
              <w:bottom w:w="60" w:type="dxa"/>
              <w:right w:w="70" w:type="dxa"/>
            </w:tcMar>
            <w:vAlign w:val="center"/>
          </w:tcPr>
          <w:p w14:paraId="23B93F2D">
            <w:pPr>
              <w:pStyle w:val="style0"/>
              <w:spacing w:after="40"/>
              <w:rPr/>
            </w:pPr>
            <w:r>
              <w:rPr>
                <w:rFonts w:ascii="Times New Roman" w:cs="Times New Roman" w:eastAsia="Times New Roman" w:hAnsi="Times New Roman"/>
                <w:b w:val="false"/>
                <w:bCs w:val="false"/>
                <w:color w:val="000000"/>
                <w:sz w:val="15"/>
                <w:szCs w:val="15"/>
              </w:rPr>
              <w:t>E-waste object images (phones, laptops, batteries)</w:t>
            </w:r>
          </w:p>
        </w:tc>
        <w:tc>
          <w:tcPr>
            <w:tcW w:w="1650" w:type="dxa"/>
            <w:tcBorders/>
            <w:shd w:val="clear" w:color="auto" w:fill="f2f2f2"/>
            <w:tcMar>
              <w:top w:w="60" w:type="dxa"/>
              <w:left w:w="70" w:type="dxa"/>
              <w:bottom w:w="60" w:type="dxa"/>
              <w:right w:w="70" w:type="dxa"/>
            </w:tcMar>
            <w:vAlign w:val="center"/>
          </w:tcPr>
          <w:p w14:paraId="5E0E36FF">
            <w:pPr>
              <w:pStyle w:val="style0"/>
              <w:spacing w:after="40"/>
              <w:rPr/>
            </w:pPr>
            <w:r>
              <w:rPr>
                <w:rFonts w:ascii="Times New Roman" w:cs="Times New Roman" w:eastAsia="Times New Roman" w:hAnsi="Times New Roman"/>
                <w:b w:val="false"/>
                <w:bCs w:val="false"/>
                <w:color w:val="000000"/>
                <w:sz w:val="15"/>
                <w:szCs w:val="15"/>
              </w:rPr>
              <w:t>Routes devices automatically and logs each AI prediction to curb misclassification and fraud</w:t>
            </w:r>
          </w:p>
        </w:tc>
        <w:tc>
          <w:tcPr>
            <w:tcW w:w="1550" w:type="dxa"/>
            <w:tcBorders/>
            <w:shd w:val="clear" w:color="auto" w:fill="f2f2f2"/>
            <w:tcMar>
              <w:top w:w="60" w:type="dxa"/>
              <w:left w:w="70" w:type="dxa"/>
              <w:bottom w:w="60" w:type="dxa"/>
              <w:right w:w="70" w:type="dxa"/>
            </w:tcMar>
            <w:vAlign w:val="center"/>
          </w:tcPr>
          <w:p w14:paraId="092FB6C2">
            <w:pPr>
              <w:pStyle w:val="style0"/>
              <w:spacing w:after="40"/>
              <w:rPr/>
            </w:pPr>
            <w:r>
              <w:rPr>
                <w:rFonts w:ascii="Times New Roman" w:cs="Times New Roman" w:eastAsia="Times New Roman" w:hAnsi="Times New Roman"/>
                <w:b w:val="false"/>
                <w:bCs w:val="false"/>
                <w:color w:val="000000"/>
                <w:sz w:val="15"/>
                <w:szCs w:val="15"/>
              </w:rPr>
              <w:t>Conceptual/prototype-stage system; limited real-world validation</w:t>
            </w:r>
          </w:p>
        </w:tc>
        <w:tc>
          <w:tcPr>
            <w:tcW w:w="1650" w:type="dxa"/>
            <w:tcBorders/>
            <w:shd w:val="clear" w:color="auto" w:fill="f2f2f2"/>
            <w:tcMar>
              <w:top w:w="60" w:type="dxa"/>
              <w:left w:w="70" w:type="dxa"/>
              <w:bottom w:w="60" w:type="dxa"/>
              <w:right w:w="70" w:type="dxa"/>
            </w:tcMar>
            <w:vAlign w:val="center"/>
          </w:tcPr>
          <w:p w14:paraId="213E61EE">
            <w:pPr>
              <w:pStyle w:val="style0"/>
              <w:spacing w:after="40"/>
              <w:rPr/>
            </w:pPr>
            <w:r>
              <w:rPr>
                <w:rFonts w:ascii="Times New Roman" w:cs="Times New Roman" w:eastAsia="Times New Roman" w:hAnsi="Times New Roman"/>
                <w:b w:val="false"/>
                <w:bCs w:val="false"/>
                <w:color w:val="000000"/>
                <w:sz w:val="15"/>
                <w:szCs w:val="15"/>
              </w:rPr>
              <w:t>Lacks a study of platform economics and stakeholder incentive design</w:t>
            </w:r>
          </w:p>
        </w:tc>
      </w:tr>
      <w:tr w14:paraId="C966D809">
        <w:tblPrEx/>
        <w:trPr/>
        <w:tc>
          <w:tcPr>
            <w:tcW w:w="1080" w:type="dxa"/>
            <w:tcBorders/>
            <w:tcMar>
              <w:top w:w="60" w:type="dxa"/>
              <w:left w:w="70" w:type="dxa"/>
              <w:bottom w:w="60" w:type="dxa"/>
              <w:right w:w="70" w:type="dxa"/>
            </w:tcMar>
            <w:vAlign w:val="center"/>
          </w:tcPr>
          <w:p w14:paraId="33B0D06C">
            <w:pPr>
              <w:pStyle w:val="style0"/>
              <w:spacing w:after="40"/>
              <w:rPr/>
            </w:pPr>
            <w:r>
              <w:rPr>
                <w:rFonts w:ascii="Times New Roman" w:cs="Times New Roman" w:eastAsia="Times New Roman" w:hAnsi="Times New Roman"/>
                <w:b w:val="false"/>
                <w:bCs w:val="false"/>
                <w:color w:val="000000"/>
                <w:sz w:val="15"/>
                <w:szCs w:val="15"/>
              </w:rPr>
              <w:t>IoT &amp; Cloud E-waste Resource Reclamation (2023)</w:t>
            </w:r>
          </w:p>
        </w:tc>
        <w:tc>
          <w:tcPr>
            <w:tcW w:w="1400" w:type="dxa"/>
            <w:tcBorders/>
            <w:tcMar>
              <w:top w:w="60" w:type="dxa"/>
              <w:left w:w="70" w:type="dxa"/>
              <w:bottom w:w="60" w:type="dxa"/>
              <w:right w:w="70" w:type="dxa"/>
            </w:tcMar>
            <w:vAlign w:val="center"/>
          </w:tcPr>
          <w:p w14:paraId="1C38070E">
            <w:pPr>
              <w:pStyle w:val="style0"/>
              <w:spacing w:after="40"/>
              <w:rPr/>
            </w:pPr>
            <w:r>
              <w:rPr>
                <w:rFonts w:ascii="Times New Roman" w:cs="Times New Roman" w:eastAsia="Times New Roman" w:hAnsi="Times New Roman"/>
                <w:b w:val="false"/>
                <w:bCs w:val="false"/>
                <w:color w:val="000000"/>
                <w:sz w:val="15"/>
                <w:szCs w:val="15"/>
              </w:rPr>
              <w:t>Data-driven decision-making for e-waste collection, sorting and disposal</w:t>
            </w:r>
          </w:p>
        </w:tc>
        <w:tc>
          <w:tcPr>
            <w:tcW w:w="1400" w:type="dxa"/>
            <w:tcBorders/>
            <w:tcMar>
              <w:top w:w="60" w:type="dxa"/>
              <w:left w:w="70" w:type="dxa"/>
              <w:bottom w:w="60" w:type="dxa"/>
              <w:right w:w="70" w:type="dxa"/>
            </w:tcMar>
            <w:vAlign w:val="center"/>
          </w:tcPr>
          <w:p w14:paraId="1228C1AF">
            <w:pPr>
              <w:pStyle w:val="style0"/>
              <w:spacing w:after="40"/>
              <w:rPr/>
            </w:pPr>
            <w:r>
              <w:rPr>
                <w:rFonts w:ascii="Times New Roman" w:cs="Times New Roman" w:eastAsia="Times New Roman" w:hAnsi="Times New Roman"/>
                <w:b w:val="false"/>
                <w:bCs w:val="false"/>
                <w:color w:val="000000"/>
                <w:sz w:val="15"/>
                <w:szCs w:val="15"/>
              </w:rPr>
              <w:t>IoT sensors + cloud analytics; YOLO11 object detector for real-time identification</w:t>
            </w:r>
          </w:p>
        </w:tc>
        <w:tc>
          <w:tcPr>
            <w:tcW w:w="1350" w:type="dxa"/>
            <w:tcBorders/>
            <w:tcMar>
              <w:top w:w="60" w:type="dxa"/>
              <w:left w:w="70" w:type="dxa"/>
              <w:bottom w:w="60" w:type="dxa"/>
              <w:right w:w="70" w:type="dxa"/>
            </w:tcMar>
            <w:vAlign w:val="center"/>
          </w:tcPr>
          <w:p w14:paraId="FA9DCD6A">
            <w:pPr>
              <w:pStyle w:val="style0"/>
              <w:spacing w:after="40"/>
              <w:rPr/>
            </w:pPr>
            <w:r>
              <w:rPr>
                <w:rFonts w:ascii="Times New Roman" w:cs="Times New Roman" w:eastAsia="Times New Roman" w:hAnsi="Times New Roman"/>
                <w:b w:val="false"/>
                <w:bCs w:val="false"/>
                <w:color w:val="000000"/>
                <w:sz w:val="15"/>
                <w:szCs w:val="15"/>
              </w:rPr>
              <w:t>Sensor-generated e-waste volume data; e-waste image set</w:t>
            </w:r>
          </w:p>
        </w:tc>
        <w:tc>
          <w:tcPr>
            <w:tcW w:w="1650" w:type="dxa"/>
            <w:tcBorders/>
            <w:tcMar>
              <w:top w:w="60" w:type="dxa"/>
              <w:left w:w="70" w:type="dxa"/>
              <w:bottom w:w="60" w:type="dxa"/>
              <w:right w:w="70" w:type="dxa"/>
            </w:tcMar>
            <w:vAlign w:val="center"/>
          </w:tcPr>
          <w:p w14:paraId="B03F3C97">
            <w:pPr>
              <w:pStyle w:val="style0"/>
              <w:spacing w:after="40"/>
              <w:rPr/>
            </w:pPr>
            <w:r>
              <w:rPr>
                <w:rFonts w:ascii="Times New Roman" w:cs="Times New Roman" w:eastAsia="Times New Roman" w:hAnsi="Times New Roman"/>
                <w:b w:val="false"/>
                <w:bCs w:val="false"/>
                <w:color w:val="000000"/>
                <w:sz w:val="15"/>
                <w:szCs w:val="15"/>
              </w:rPr>
              <w:t>YOLO11 reached a 4.9 ms GPU inference time, supporting real-time, automated sorting</w:t>
            </w:r>
          </w:p>
        </w:tc>
        <w:tc>
          <w:tcPr>
            <w:tcW w:w="1550" w:type="dxa"/>
            <w:tcBorders/>
            <w:tcMar>
              <w:top w:w="60" w:type="dxa"/>
              <w:left w:w="70" w:type="dxa"/>
              <w:bottom w:w="60" w:type="dxa"/>
              <w:right w:w="70" w:type="dxa"/>
            </w:tcMar>
            <w:vAlign w:val="center"/>
          </w:tcPr>
          <w:p w14:paraId="A79384B5">
            <w:pPr>
              <w:pStyle w:val="style0"/>
              <w:spacing w:after="40"/>
              <w:rPr/>
            </w:pPr>
            <w:r>
              <w:rPr>
                <w:rFonts w:ascii="Times New Roman" w:cs="Times New Roman" w:eastAsia="Times New Roman" w:hAnsi="Times New Roman"/>
                <w:b w:val="false"/>
                <w:bCs w:val="false"/>
                <w:color w:val="000000"/>
                <w:sz w:val="15"/>
                <w:szCs w:val="15"/>
              </w:rPr>
              <w:t>Cloud dependency raises latency and connectivity concerns in low-infrastructure areas</w:t>
            </w:r>
          </w:p>
        </w:tc>
        <w:tc>
          <w:tcPr>
            <w:tcW w:w="1650" w:type="dxa"/>
            <w:tcBorders/>
            <w:tcMar>
              <w:top w:w="60" w:type="dxa"/>
              <w:left w:w="70" w:type="dxa"/>
              <w:bottom w:w="60" w:type="dxa"/>
              <w:right w:w="70" w:type="dxa"/>
            </w:tcMar>
            <w:vAlign w:val="center"/>
          </w:tcPr>
          <w:p w14:paraId="9B5F9F91">
            <w:pPr>
              <w:pStyle w:val="style0"/>
              <w:spacing w:after="40"/>
              <w:rPr/>
            </w:pPr>
            <w:r>
              <w:rPr>
                <w:rFonts w:ascii="Times New Roman" w:cs="Times New Roman" w:eastAsia="Times New Roman" w:hAnsi="Times New Roman"/>
                <w:b w:val="false"/>
                <w:bCs w:val="false"/>
                <w:color w:val="000000"/>
                <w:sz w:val="15"/>
                <w:szCs w:val="15"/>
              </w:rPr>
              <w:t>Limited exploration of offline/edge fallback for unreliable networks</w:t>
            </w:r>
          </w:p>
        </w:tc>
      </w:tr>
      <w:tr w14:paraId="64F86642">
        <w:tblPrEx/>
        <w:trPr/>
        <w:tc>
          <w:tcPr>
            <w:tcW w:w="1080" w:type="dxa"/>
            <w:tcBorders/>
            <w:shd w:val="clear" w:color="auto" w:fill="f2f2f2"/>
            <w:tcMar>
              <w:top w:w="60" w:type="dxa"/>
              <w:left w:w="70" w:type="dxa"/>
              <w:bottom w:w="60" w:type="dxa"/>
              <w:right w:w="70" w:type="dxa"/>
            </w:tcMar>
            <w:vAlign w:val="center"/>
          </w:tcPr>
          <w:p w14:paraId="E4AA4AA5">
            <w:pPr>
              <w:pStyle w:val="style0"/>
              <w:spacing w:after="40"/>
              <w:rPr/>
            </w:pPr>
            <w:r>
              <w:rPr>
                <w:rFonts w:ascii="Times New Roman" w:cs="Times New Roman" w:eastAsia="Times New Roman" w:hAnsi="Times New Roman"/>
                <w:b w:val="false"/>
                <w:bCs w:val="false"/>
                <w:color w:val="000000"/>
                <w:sz w:val="15"/>
                <w:szCs w:val="15"/>
              </w:rPr>
              <w:t>AI-IoT Review for Urban Solid Waste (ScienceDirect, 2025)</w:t>
            </w:r>
          </w:p>
        </w:tc>
        <w:tc>
          <w:tcPr>
            <w:tcW w:w="1400" w:type="dxa"/>
            <w:tcBorders/>
            <w:shd w:val="clear" w:color="auto" w:fill="f2f2f2"/>
            <w:tcMar>
              <w:top w:w="60" w:type="dxa"/>
              <w:left w:w="70" w:type="dxa"/>
              <w:bottom w:w="60" w:type="dxa"/>
              <w:right w:w="70" w:type="dxa"/>
            </w:tcMar>
            <w:vAlign w:val="center"/>
          </w:tcPr>
          <w:p w14:paraId="4A896EFE">
            <w:pPr>
              <w:pStyle w:val="style0"/>
              <w:spacing w:after="40"/>
              <w:rPr/>
            </w:pPr>
            <w:r>
              <w:rPr>
                <w:rFonts w:ascii="Times New Roman" w:cs="Times New Roman" w:eastAsia="Times New Roman" w:hAnsi="Times New Roman"/>
                <w:b w:val="false"/>
                <w:bCs w:val="false"/>
                <w:color w:val="000000"/>
                <w:sz w:val="15"/>
                <w:szCs w:val="15"/>
              </w:rPr>
              <w:t>Synergistic use of AI and IoT across the waste management lifecycle</w:t>
            </w:r>
          </w:p>
        </w:tc>
        <w:tc>
          <w:tcPr>
            <w:tcW w:w="1400" w:type="dxa"/>
            <w:tcBorders/>
            <w:shd w:val="clear" w:color="auto" w:fill="f2f2f2"/>
            <w:tcMar>
              <w:top w:w="60" w:type="dxa"/>
              <w:left w:w="70" w:type="dxa"/>
              <w:bottom w:w="60" w:type="dxa"/>
              <w:right w:w="70" w:type="dxa"/>
            </w:tcMar>
            <w:vAlign w:val="center"/>
          </w:tcPr>
          <w:p w14:paraId="BAA28BB0">
            <w:pPr>
              <w:pStyle w:val="style0"/>
              <w:spacing w:after="40"/>
              <w:rPr/>
            </w:pPr>
            <w:r>
              <w:rPr>
                <w:rFonts w:ascii="Times New Roman" w:cs="Times New Roman" w:eastAsia="Times New Roman" w:hAnsi="Times New Roman"/>
                <w:b w:val="false"/>
                <w:bCs w:val="false"/>
                <w:color w:val="000000"/>
                <w:sz w:val="15"/>
                <w:szCs w:val="15"/>
              </w:rPr>
              <w:t>Systematic literature review; proposes an integrated AI+IoT framework</w:t>
            </w:r>
          </w:p>
        </w:tc>
        <w:tc>
          <w:tcPr>
            <w:tcW w:w="1350" w:type="dxa"/>
            <w:tcBorders/>
            <w:shd w:val="clear" w:color="auto" w:fill="f2f2f2"/>
            <w:tcMar>
              <w:top w:w="60" w:type="dxa"/>
              <w:left w:w="70" w:type="dxa"/>
              <w:bottom w:w="60" w:type="dxa"/>
              <w:right w:w="70" w:type="dxa"/>
            </w:tcMar>
            <w:vAlign w:val="center"/>
          </w:tcPr>
          <w:p w14:paraId="2D70014C">
            <w:pPr>
              <w:pStyle w:val="style0"/>
              <w:spacing w:after="40"/>
              <w:rPr/>
            </w:pPr>
            <w:r>
              <w:rPr>
                <w:rFonts w:ascii="Times New Roman" w:cs="Times New Roman" w:eastAsia="Times New Roman" w:hAnsi="Times New Roman"/>
                <w:b w:val="false"/>
                <w:bCs w:val="false"/>
                <w:color w:val="000000"/>
                <w:sz w:val="15"/>
                <w:szCs w:val="15"/>
              </w:rPr>
              <w:t>Not applicable (review paper)</w:t>
            </w:r>
          </w:p>
        </w:tc>
        <w:tc>
          <w:tcPr>
            <w:tcW w:w="1650" w:type="dxa"/>
            <w:tcBorders/>
            <w:shd w:val="clear" w:color="auto" w:fill="f2f2f2"/>
            <w:tcMar>
              <w:top w:w="60" w:type="dxa"/>
              <w:left w:w="70" w:type="dxa"/>
              <w:bottom w:w="60" w:type="dxa"/>
              <w:right w:w="70" w:type="dxa"/>
            </w:tcMar>
            <w:vAlign w:val="center"/>
          </w:tcPr>
          <w:p w14:paraId="23B1BC35">
            <w:pPr>
              <w:pStyle w:val="style0"/>
              <w:spacing w:after="40"/>
              <w:rPr/>
            </w:pPr>
            <w:r>
              <w:rPr>
                <w:rFonts w:ascii="Times New Roman" w:cs="Times New Roman" w:eastAsia="Times New Roman" w:hAnsi="Times New Roman"/>
                <w:b w:val="false"/>
                <w:bCs w:val="false"/>
                <w:color w:val="000000"/>
                <w:sz w:val="15"/>
                <w:szCs w:val="15"/>
              </w:rPr>
              <w:t>Identifies route planning, predictive maintenance and resource allocation as high-value AI+IoT use cases</w:t>
            </w:r>
          </w:p>
        </w:tc>
        <w:tc>
          <w:tcPr>
            <w:tcW w:w="1550" w:type="dxa"/>
            <w:tcBorders/>
            <w:shd w:val="clear" w:color="auto" w:fill="f2f2f2"/>
            <w:tcMar>
              <w:top w:w="60" w:type="dxa"/>
              <w:left w:w="70" w:type="dxa"/>
              <w:bottom w:w="60" w:type="dxa"/>
              <w:right w:w="70" w:type="dxa"/>
            </w:tcMar>
            <w:vAlign w:val="center"/>
          </w:tcPr>
          <w:p w14:paraId="D4DD6CD3">
            <w:pPr>
              <w:pStyle w:val="style0"/>
              <w:spacing w:after="40"/>
              <w:rPr/>
            </w:pPr>
            <w:r>
              <w:rPr>
                <w:rFonts w:ascii="Times New Roman" w:cs="Times New Roman" w:eastAsia="Times New Roman" w:hAnsi="Times New Roman"/>
                <w:b w:val="false"/>
                <w:bCs w:val="false"/>
                <w:color w:val="000000"/>
                <w:sz w:val="15"/>
                <w:szCs w:val="15"/>
              </w:rPr>
              <w:t>High initial cost, privacy concerns and technical limitations noted as adoption barriers</w:t>
            </w:r>
          </w:p>
        </w:tc>
        <w:tc>
          <w:tcPr>
            <w:tcW w:w="1650" w:type="dxa"/>
            <w:tcBorders/>
            <w:shd w:val="clear" w:color="auto" w:fill="f2f2f2"/>
            <w:tcMar>
              <w:top w:w="60" w:type="dxa"/>
              <w:left w:w="70" w:type="dxa"/>
              <w:bottom w:w="60" w:type="dxa"/>
              <w:right w:w="70" w:type="dxa"/>
            </w:tcMar>
            <w:vAlign w:val="center"/>
          </w:tcPr>
          <w:p w14:paraId="E591D7DB">
            <w:pPr>
              <w:pStyle w:val="style0"/>
              <w:spacing w:after="40"/>
              <w:rPr/>
            </w:pPr>
            <w:r>
              <w:rPr>
                <w:rFonts w:ascii="Times New Roman" w:cs="Times New Roman" w:eastAsia="Times New Roman" w:hAnsi="Times New Roman"/>
                <w:b w:val="false"/>
                <w:bCs w:val="false"/>
                <w:color w:val="000000"/>
                <w:sz w:val="15"/>
                <w:szCs w:val="15"/>
              </w:rPr>
              <w:t>Combined AI+IoT synergy remains underexplored relative to single-technology studies</w:t>
            </w:r>
          </w:p>
        </w:tc>
      </w:tr>
      <w:tr w14:paraId="D56A88F2">
        <w:tblPrEx/>
        <w:trPr/>
        <w:tc>
          <w:tcPr>
            <w:tcW w:w="1080" w:type="dxa"/>
            <w:tcBorders/>
            <w:tcMar>
              <w:top w:w="60" w:type="dxa"/>
              <w:left w:w="70" w:type="dxa"/>
              <w:bottom w:w="60" w:type="dxa"/>
              <w:right w:w="70" w:type="dxa"/>
            </w:tcMar>
            <w:vAlign w:val="center"/>
          </w:tcPr>
          <w:p w14:paraId="475B10DF">
            <w:pPr>
              <w:pStyle w:val="style0"/>
              <w:spacing w:after="40"/>
              <w:rPr/>
            </w:pPr>
            <w:r>
              <w:rPr>
                <w:rFonts w:ascii="Times New Roman" w:cs="Times New Roman" w:eastAsia="Times New Roman" w:hAnsi="Times New Roman"/>
                <w:b w:val="false"/>
                <w:bCs w:val="false"/>
                <w:color w:val="000000"/>
                <w:sz w:val="15"/>
                <w:szCs w:val="15"/>
              </w:rPr>
              <w:t>AI &amp; IoT for Smart Waste Management: Challenges &amp; Opportunities (2025)</w:t>
            </w:r>
          </w:p>
        </w:tc>
        <w:tc>
          <w:tcPr>
            <w:tcW w:w="1400" w:type="dxa"/>
            <w:tcBorders/>
            <w:tcMar>
              <w:top w:w="60" w:type="dxa"/>
              <w:left w:w="70" w:type="dxa"/>
              <w:bottom w:w="60" w:type="dxa"/>
              <w:right w:w="70" w:type="dxa"/>
            </w:tcMar>
            <w:vAlign w:val="center"/>
          </w:tcPr>
          <w:p w14:paraId="0370FF05">
            <w:pPr>
              <w:pStyle w:val="style0"/>
              <w:spacing w:after="40"/>
              <w:rPr/>
            </w:pPr>
            <w:r>
              <w:rPr>
                <w:rFonts w:ascii="Times New Roman" w:cs="Times New Roman" w:eastAsia="Times New Roman" w:hAnsi="Times New Roman"/>
                <w:b w:val="false"/>
                <w:bCs w:val="false"/>
                <w:color w:val="000000"/>
                <w:sz w:val="15"/>
                <w:szCs w:val="15"/>
              </w:rPr>
              <w:t>Barriers to AI-driven waste management adoption, with a focus on developing regions</w:t>
            </w:r>
          </w:p>
        </w:tc>
        <w:tc>
          <w:tcPr>
            <w:tcW w:w="1400" w:type="dxa"/>
            <w:tcBorders/>
            <w:tcMar>
              <w:top w:w="60" w:type="dxa"/>
              <w:left w:w="70" w:type="dxa"/>
              <w:bottom w:w="60" w:type="dxa"/>
              <w:right w:w="70" w:type="dxa"/>
            </w:tcMar>
            <w:vAlign w:val="center"/>
          </w:tcPr>
          <w:p w14:paraId="F97595E6">
            <w:pPr>
              <w:pStyle w:val="style0"/>
              <w:spacing w:after="40"/>
              <w:rPr/>
            </w:pPr>
            <w:r>
              <w:rPr>
                <w:rFonts w:ascii="Times New Roman" w:cs="Times New Roman" w:eastAsia="Times New Roman" w:hAnsi="Times New Roman"/>
                <w:b w:val="false"/>
                <w:bCs w:val="false"/>
                <w:color w:val="000000"/>
                <w:sz w:val="15"/>
                <w:szCs w:val="15"/>
              </w:rPr>
              <w:t>Analytical review of financial, ethical and regulatory adoption barriers</w:t>
            </w:r>
          </w:p>
        </w:tc>
        <w:tc>
          <w:tcPr>
            <w:tcW w:w="1350" w:type="dxa"/>
            <w:tcBorders/>
            <w:tcMar>
              <w:top w:w="60" w:type="dxa"/>
              <w:left w:w="70" w:type="dxa"/>
              <w:bottom w:w="60" w:type="dxa"/>
              <w:right w:w="70" w:type="dxa"/>
            </w:tcMar>
            <w:vAlign w:val="center"/>
          </w:tcPr>
          <w:p w14:paraId="9DCEE53D">
            <w:pPr>
              <w:pStyle w:val="style0"/>
              <w:spacing w:after="40"/>
              <w:rPr/>
            </w:pPr>
            <w:r>
              <w:rPr>
                <w:rFonts w:ascii="Times New Roman" w:cs="Times New Roman" w:eastAsia="Times New Roman" w:hAnsi="Times New Roman"/>
                <w:b w:val="false"/>
                <w:bCs w:val="false"/>
                <w:color w:val="000000"/>
                <w:sz w:val="15"/>
                <w:szCs w:val="15"/>
              </w:rPr>
              <w:t>Not applicable (review paper)</w:t>
            </w:r>
          </w:p>
        </w:tc>
        <w:tc>
          <w:tcPr>
            <w:tcW w:w="1650" w:type="dxa"/>
            <w:tcBorders/>
            <w:tcMar>
              <w:top w:w="60" w:type="dxa"/>
              <w:left w:w="70" w:type="dxa"/>
              <w:bottom w:w="60" w:type="dxa"/>
              <w:right w:w="70" w:type="dxa"/>
            </w:tcMar>
            <w:vAlign w:val="center"/>
          </w:tcPr>
          <w:p w14:paraId="91A24AD2">
            <w:pPr>
              <w:pStyle w:val="style0"/>
              <w:spacing w:after="40"/>
              <w:rPr/>
            </w:pPr>
            <w:r>
              <w:rPr>
                <w:rFonts w:ascii="Times New Roman" w:cs="Times New Roman" w:eastAsia="Times New Roman" w:hAnsi="Times New Roman"/>
                <w:b w:val="false"/>
                <w:bCs w:val="false"/>
                <w:color w:val="000000"/>
                <w:sz w:val="15"/>
                <w:szCs w:val="15"/>
              </w:rPr>
              <w:t>Highlights infrastructure cost, data accessibility and workforce/privacy impact as key blockers</w:t>
            </w:r>
          </w:p>
        </w:tc>
        <w:tc>
          <w:tcPr>
            <w:tcW w:w="1550" w:type="dxa"/>
            <w:tcBorders/>
            <w:tcMar>
              <w:top w:w="60" w:type="dxa"/>
              <w:left w:w="70" w:type="dxa"/>
              <w:bottom w:w="60" w:type="dxa"/>
              <w:right w:w="70" w:type="dxa"/>
            </w:tcMar>
            <w:vAlign w:val="center"/>
          </w:tcPr>
          <w:p w14:paraId="F259C834">
            <w:pPr>
              <w:pStyle w:val="style0"/>
              <w:spacing w:after="40"/>
              <w:rPr/>
            </w:pPr>
            <w:r>
              <w:rPr>
                <w:rFonts w:ascii="Times New Roman" w:cs="Times New Roman" w:eastAsia="Times New Roman" w:hAnsi="Times New Roman"/>
                <w:b w:val="false"/>
                <w:bCs w:val="false"/>
                <w:color w:val="000000"/>
                <w:sz w:val="15"/>
                <w:szCs w:val="15"/>
              </w:rPr>
              <w:t>Findings are largely qualitative; limited quantitative benchmarking</w:t>
            </w:r>
          </w:p>
        </w:tc>
        <w:tc>
          <w:tcPr>
            <w:tcW w:w="1650" w:type="dxa"/>
            <w:tcBorders/>
            <w:tcMar>
              <w:top w:w="60" w:type="dxa"/>
              <w:left w:w="70" w:type="dxa"/>
              <w:bottom w:w="60" w:type="dxa"/>
              <w:right w:w="70" w:type="dxa"/>
            </w:tcMar>
            <w:vAlign w:val="center"/>
          </w:tcPr>
          <w:p w14:paraId="59D40772">
            <w:pPr>
              <w:pStyle w:val="style0"/>
              <w:spacing w:after="40"/>
              <w:rPr/>
            </w:pPr>
            <w:r>
              <w:rPr>
                <w:rFonts w:ascii="Times New Roman" w:cs="Times New Roman" w:eastAsia="Times New Roman" w:hAnsi="Times New Roman"/>
                <w:b w:val="false"/>
                <w:bCs w:val="false"/>
                <w:color w:val="000000"/>
                <w:sz w:val="15"/>
                <w:szCs w:val="15"/>
              </w:rPr>
              <w:t>Few standardized frameworks exist for regulatory and ethical AI deployment in low-resource settings</w:t>
            </w:r>
          </w:p>
        </w:tc>
      </w:tr>
      <w:tr w14:paraId="E0D59AF3">
        <w:tblPrEx/>
        <w:trPr/>
        <w:tc>
          <w:tcPr>
            <w:tcW w:w="1080" w:type="dxa"/>
            <w:tcBorders/>
            <w:shd w:val="clear" w:color="auto" w:fill="f2f2f2"/>
            <w:tcMar>
              <w:top w:w="60" w:type="dxa"/>
              <w:left w:w="70" w:type="dxa"/>
              <w:bottom w:w="60" w:type="dxa"/>
              <w:right w:w="70" w:type="dxa"/>
            </w:tcMar>
            <w:vAlign w:val="center"/>
          </w:tcPr>
          <w:p w14:paraId="3FEFFF82">
            <w:pPr>
              <w:pStyle w:val="style0"/>
              <w:spacing w:after="40"/>
              <w:rPr/>
            </w:pPr>
            <w:r>
              <w:rPr>
                <w:rFonts w:ascii="Times New Roman" w:cs="Times New Roman" w:eastAsia="Times New Roman" w:hAnsi="Times New Roman"/>
                <w:b w:val="false"/>
                <w:bCs w:val="false"/>
                <w:color w:val="000000"/>
                <w:sz w:val="15"/>
                <w:szCs w:val="15"/>
              </w:rPr>
              <w:t>IoTGAWMS, Smart Campus Waste Management (2020)</w:t>
            </w:r>
          </w:p>
        </w:tc>
        <w:tc>
          <w:tcPr>
            <w:tcW w:w="1400" w:type="dxa"/>
            <w:tcBorders/>
            <w:shd w:val="clear" w:color="auto" w:fill="f2f2f2"/>
            <w:tcMar>
              <w:top w:w="60" w:type="dxa"/>
              <w:left w:w="70" w:type="dxa"/>
              <w:bottom w:w="60" w:type="dxa"/>
              <w:right w:w="70" w:type="dxa"/>
            </w:tcMar>
            <w:vAlign w:val="center"/>
          </w:tcPr>
          <w:p w14:paraId="1B702D68">
            <w:pPr>
              <w:pStyle w:val="style0"/>
              <w:spacing w:after="40"/>
              <w:rPr/>
            </w:pPr>
            <w:r>
              <w:rPr>
                <w:rFonts w:ascii="Times New Roman" w:cs="Times New Roman" w:eastAsia="Times New Roman" w:hAnsi="Times New Roman"/>
                <w:b w:val="false"/>
                <w:bCs w:val="false"/>
                <w:color w:val="000000"/>
                <w:sz w:val="15"/>
                <w:szCs w:val="15"/>
              </w:rPr>
              <w:t>Optimising collection routing and bin placement using AI-IoT integration</w:t>
            </w:r>
          </w:p>
        </w:tc>
        <w:tc>
          <w:tcPr>
            <w:tcW w:w="1400" w:type="dxa"/>
            <w:tcBorders/>
            <w:shd w:val="clear" w:color="auto" w:fill="f2f2f2"/>
            <w:tcMar>
              <w:top w:w="60" w:type="dxa"/>
              <w:left w:w="70" w:type="dxa"/>
              <w:bottom w:w="60" w:type="dxa"/>
              <w:right w:w="70" w:type="dxa"/>
            </w:tcMar>
            <w:vAlign w:val="center"/>
          </w:tcPr>
          <w:p w14:paraId="B975B1C6">
            <w:pPr>
              <w:pStyle w:val="style0"/>
              <w:spacing w:after="40"/>
              <w:rPr/>
            </w:pPr>
            <w:r>
              <w:rPr>
                <w:rFonts w:ascii="Times New Roman" w:cs="Times New Roman" w:eastAsia="Times New Roman" w:hAnsi="Times New Roman"/>
                <w:b w:val="false"/>
                <w:bCs w:val="false"/>
                <w:color w:val="000000"/>
                <w:sz w:val="15"/>
                <w:szCs w:val="15"/>
              </w:rPr>
              <w:t>IoT sensor network + Genetic Algorithm optimisation</w:t>
            </w:r>
          </w:p>
        </w:tc>
        <w:tc>
          <w:tcPr>
            <w:tcW w:w="1350" w:type="dxa"/>
            <w:tcBorders/>
            <w:shd w:val="clear" w:color="auto" w:fill="f2f2f2"/>
            <w:tcMar>
              <w:top w:w="60" w:type="dxa"/>
              <w:left w:w="70" w:type="dxa"/>
              <w:bottom w:w="60" w:type="dxa"/>
              <w:right w:w="70" w:type="dxa"/>
            </w:tcMar>
            <w:vAlign w:val="center"/>
          </w:tcPr>
          <w:p w14:paraId="9CAB299B">
            <w:pPr>
              <w:pStyle w:val="style0"/>
              <w:spacing w:after="40"/>
              <w:rPr/>
            </w:pPr>
            <w:r>
              <w:rPr>
                <w:rFonts w:ascii="Times New Roman" w:cs="Times New Roman" w:eastAsia="Times New Roman" w:hAnsi="Times New Roman"/>
                <w:b w:val="false"/>
                <w:bCs w:val="false"/>
                <w:color w:val="000000"/>
                <w:sz w:val="15"/>
                <w:szCs w:val="15"/>
              </w:rPr>
              <w:t>Smart-campus bin and route data</w:t>
            </w:r>
          </w:p>
        </w:tc>
        <w:tc>
          <w:tcPr>
            <w:tcW w:w="1650" w:type="dxa"/>
            <w:tcBorders/>
            <w:shd w:val="clear" w:color="auto" w:fill="f2f2f2"/>
            <w:tcMar>
              <w:top w:w="60" w:type="dxa"/>
              <w:left w:w="70" w:type="dxa"/>
              <w:bottom w:w="60" w:type="dxa"/>
              <w:right w:w="70" w:type="dxa"/>
            </w:tcMar>
            <w:vAlign w:val="center"/>
          </w:tcPr>
          <w:p w14:paraId="E10040B2">
            <w:pPr>
              <w:pStyle w:val="style0"/>
              <w:spacing w:after="40"/>
              <w:rPr/>
            </w:pPr>
            <w:r>
              <w:rPr>
                <w:rFonts w:ascii="Times New Roman" w:cs="Times New Roman" w:eastAsia="Times New Roman" w:hAnsi="Times New Roman"/>
                <w:b w:val="false"/>
                <w:bCs w:val="false"/>
                <w:color w:val="000000"/>
                <w:sz w:val="15"/>
                <w:szCs w:val="15"/>
              </w:rPr>
              <w:t>Genetic-algorithm optimisation improved route efficiency and resource utilisation over static planning</w:t>
            </w:r>
          </w:p>
        </w:tc>
        <w:tc>
          <w:tcPr>
            <w:tcW w:w="1550" w:type="dxa"/>
            <w:tcBorders/>
            <w:shd w:val="clear" w:color="auto" w:fill="f2f2f2"/>
            <w:tcMar>
              <w:top w:w="60" w:type="dxa"/>
              <w:left w:w="70" w:type="dxa"/>
              <w:bottom w:w="60" w:type="dxa"/>
              <w:right w:w="70" w:type="dxa"/>
            </w:tcMar>
            <w:vAlign w:val="center"/>
          </w:tcPr>
          <w:p w14:paraId="CD642A2D">
            <w:pPr>
              <w:pStyle w:val="style0"/>
              <w:spacing w:after="40"/>
              <w:rPr/>
            </w:pPr>
            <w:r>
              <w:rPr>
                <w:rFonts w:ascii="Times New Roman" w:cs="Times New Roman" w:eastAsia="Times New Roman" w:hAnsi="Times New Roman"/>
                <w:b w:val="false"/>
                <w:bCs w:val="false"/>
                <w:color w:val="000000"/>
                <w:sz w:val="15"/>
                <w:szCs w:val="15"/>
              </w:rPr>
              <w:t>Evaluated only in a campus-scale setting, not a city-scale e-waste network</w:t>
            </w:r>
          </w:p>
        </w:tc>
        <w:tc>
          <w:tcPr>
            <w:tcW w:w="1650" w:type="dxa"/>
            <w:tcBorders/>
            <w:shd w:val="clear" w:color="auto" w:fill="f2f2f2"/>
            <w:tcMar>
              <w:top w:w="60" w:type="dxa"/>
              <w:left w:w="70" w:type="dxa"/>
              <w:bottom w:w="60" w:type="dxa"/>
              <w:right w:w="70" w:type="dxa"/>
            </w:tcMar>
            <w:vAlign w:val="center"/>
          </w:tcPr>
          <w:p w14:paraId="8FE6D8F1">
            <w:pPr>
              <w:pStyle w:val="style0"/>
              <w:spacing w:after="40"/>
              <w:rPr/>
            </w:pPr>
            <w:r>
              <w:rPr>
                <w:rFonts w:ascii="Times New Roman" w:cs="Times New Roman" w:eastAsia="Times New Roman" w:hAnsi="Times New Roman"/>
                <w:b w:val="false"/>
                <w:bCs w:val="false"/>
                <w:color w:val="000000"/>
                <w:sz w:val="15"/>
                <w:szCs w:val="15"/>
              </w:rPr>
              <w:t>No adaptation of optimisation to the intermittent, bulkier nature of e-waste (vs. daily MSW)</w:t>
            </w:r>
          </w:p>
        </w:tc>
      </w:tr>
    </w:tbl>
    <w:p w14:paraId="8C69248B">
      <w:pPr>
        <w:pStyle w:val="style0"/>
        <w:spacing w:after="200"/>
        <w:rPr/>
      </w:pPr>
    </w:p>
    <w:p w14:paraId="E696D8C2">
      <w:pPr>
        <w:pStyle w:val="style4097"/>
        <w:spacing w:before="320" w:after="160"/>
        <w:rPr/>
      </w:pPr>
      <w:r>
        <w:t>4. Comparative Analysis</w:t>
      </w:r>
    </w:p>
    <w:p w14:paraId="19E580AC">
      <w:pPr>
        <w:pStyle w:val="style0"/>
        <w:spacing w:after="160" w:lineRule="auto" w:line="300"/>
        <w:jc w:val="both"/>
        <w:rPr/>
      </w:pPr>
      <w:r>
        <w:rPr>
          <w:rFonts w:ascii="Times New Roman" w:cs="Times New Roman" w:eastAsia="Times New Roman" w:hAnsi="Times New Roman"/>
          <w:color w:val="000000"/>
          <w:sz w:val="28"/>
          <w:szCs w:val="28"/>
        </w:rPr>
        <w:t>Across the reviewed literature, three broad technology tracks emerge. First, vision-based classification/detection models (Nowakowski et al.; the YOLOv7 study; the YOLO11-based cloud system; Green Grid) report very high accuracy — often above 90%, and in one case 99.7% — but are consistently trained and tested on small or curated datasets, leaving real-world robustness unverified. Second, IoT-sensor-driven monitoring systems (Voskergian &amp; Ishaq; the IoT-cloud reclamation study) are effective at tracking bin status and volume but add cloud/connectivity dependencies. Third, optimisation-and-synergy studies (IoTGAWMS; the two review papers) argue that the greatest gains come from combining AI classification with IoT monitoring and route/resource optimisation — yet this integrated combination is the least experimentally validated of the three tracks, especially for e-waste specifically rather than general municipal solid waste.</w:t>
      </w:r>
    </w:p>
    <w:p w14:paraId="AAF947B3">
      <w:pPr>
        <w:pStyle w:val="style0"/>
        <w:spacing w:after="160" w:lineRule="auto" w:line="300"/>
        <w:jc w:val="both"/>
        <w:rPr/>
      </w:pPr>
      <w:r>
        <w:rPr>
          <w:rFonts w:ascii="Times New Roman" w:cs="Times New Roman" w:eastAsia="Times New Roman" w:hAnsi="Times New Roman"/>
          <w:color w:val="000000"/>
          <w:sz w:val="28"/>
          <w:szCs w:val="28"/>
        </w:rPr>
        <w:t>On methodology, most e-waste-specific studies rely on supervised CNN or YOLO-family object detectors, while general waste-management literature increasingly explores genetic algorithms and predictive analytics for logistics. Few papers combine both layers (perception plus optimisation) within a single end-to-end e-waste system, and fewer still evaluate cost, citizen participation, or recycler-facility integration.</w:t>
      </w:r>
    </w:p>
    <w:p w14:paraId="D72B46F6">
      <w:pPr>
        <w:pStyle w:val="style4097"/>
        <w:spacing w:before="320" w:after="160"/>
        <w:rPr/>
      </w:pPr>
      <w:r>
        <w:t>5. Identified Research Gaps</w:t>
      </w:r>
    </w:p>
    <w:p w14:paraId="5848D482">
      <w:pPr>
        <w:pStyle w:val="style179"/>
        <w:numPr>
          <w:ilvl w:val="0"/>
          <w:numId w:val="1"/>
        </w:numPr>
        <w:spacing w:after="80" w:lineRule="auto" w:line="280"/>
        <w:rPr/>
      </w:pPr>
      <w:r>
        <w:rPr>
          <w:rFonts w:ascii="Times New Roman" w:cs="Times New Roman" w:eastAsia="Times New Roman" w:hAnsi="Times New Roman"/>
          <w:color w:val="000000"/>
          <w:sz w:val="28"/>
          <w:szCs w:val="28"/>
        </w:rPr>
        <w:t>Most e-waste detection/classification models are trained and validated on small, curated datasets (180–2,500 images); large-scale, real-world, cluttered-scene benchmarks specific to e-waste are lacking.</w:t>
      </w:r>
    </w:p>
    <w:p w14:paraId="BFDFFE36">
      <w:pPr>
        <w:pStyle w:val="style179"/>
        <w:numPr>
          <w:ilvl w:val="0"/>
          <w:numId w:val="1"/>
        </w:numPr>
        <w:spacing w:after="80" w:lineRule="auto" w:line="280"/>
        <w:rPr/>
      </w:pPr>
      <w:r>
        <w:rPr>
          <w:rFonts w:ascii="Times New Roman" w:cs="Times New Roman" w:eastAsia="Times New Roman" w:hAnsi="Times New Roman"/>
          <w:color w:val="000000"/>
          <w:sz w:val="28"/>
          <w:szCs w:val="28"/>
        </w:rPr>
        <w:t>Very few studies integrate AI-based classification, IoT-based bin/collection monitoring, and route/resource optimisation into a single end-to-end e-waste platform — most work isolates one layer.</w:t>
      </w:r>
    </w:p>
    <w:p w14:paraId="38AFC67E">
      <w:pPr>
        <w:pStyle w:val="style179"/>
        <w:numPr>
          <w:ilvl w:val="0"/>
          <w:numId w:val="1"/>
        </w:numPr>
        <w:spacing w:after="80" w:lineRule="auto" w:line="280"/>
        <w:rPr/>
      </w:pPr>
      <w:r>
        <w:rPr>
          <w:rFonts w:ascii="Times New Roman" w:cs="Times New Roman" w:eastAsia="Times New Roman" w:hAnsi="Times New Roman"/>
          <w:color w:val="000000"/>
          <w:sz w:val="28"/>
          <w:szCs w:val="28"/>
        </w:rPr>
        <w:t>Cloud-dependent architectures are common, but edge/offline fallback for low-connectivity or resource-constrained regions is rarely addressed, despite adoption-barrier literature flagging infrastructure cost as a top concern.</w:t>
      </w:r>
    </w:p>
    <w:p w14:paraId="D96317D9">
      <w:pPr>
        <w:pStyle w:val="style179"/>
        <w:numPr>
          <w:ilvl w:val="0"/>
          <w:numId w:val="1"/>
        </w:numPr>
        <w:spacing w:after="80" w:lineRule="auto" w:line="280"/>
        <w:rPr/>
      </w:pPr>
      <w:r>
        <w:rPr>
          <w:rFonts w:ascii="Times New Roman" w:cs="Times New Roman" w:eastAsia="Times New Roman" w:hAnsi="Times New Roman"/>
          <w:color w:val="000000"/>
          <w:sz w:val="28"/>
          <w:szCs w:val="28"/>
        </w:rPr>
        <w:t>Economic, incentive-design, and citizen-participation aspects (e.g., how to motivate correct disposal, formal recycler onboarding, anti-fraud tracking) are discussed conceptually (e.g., Green Grid) but rarely evaluated empirically.</w:t>
      </w:r>
    </w:p>
    <w:p w14:paraId="9ABEB94E">
      <w:pPr>
        <w:pStyle w:val="style179"/>
        <w:numPr>
          <w:ilvl w:val="0"/>
          <w:numId w:val="1"/>
        </w:numPr>
        <w:spacing w:after="80" w:lineRule="auto" w:line="280"/>
        <w:rPr/>
      </w:pPr>
      <w:r>
        <w:rPr>
          <w:rFonts w:ascii="Times New Roman" w:cs="Times New Roman" w:eastAsia="Times New Roman" w:hAnsi="Times New Roman"/>
          <w:color w:val="000000"/>
          <w:sz w:val="28"/>
          <w:szCs w:val="28"/>
        </w:rPr>
        <w:t>Regulatory, ethical, and data-privacy frameworks for AI-driven e-waste platforms — especially in developing regions — remain largely unformalised despite being repeatedly identified as adoption blockers.</w:t>
      </w:r>
    </w:p>
    <w:p w14:paraId="1130445D">
      <w:pPr>
        <w:pStyle w:val="style0"/>
        <w:spacing w:after="60"/>
        <w:rPr/>
      </w:pPr>
    </w:p>
    <w:p w14:paraId="59819EEC">
      <w:pPr>
        <w:pStyle w:val="style4097"/>
        <w:spacing w:before="320" w:after="160"/>
        <w:rPr/>
      </w:pPr>
      <w:r>
        <w:t>6. Future Research Directions</w:t>
      </w:r>
    </w:p>
    <w:p w14:paraId="8EE47364">
      <w:pPr>
        <w:pStyle w:val="style179"/>
        <w:numPr>
          <w:ilvl w:val="0"/>
          <w:numId w:val="1"/>
        </w:numPr>
        <w:spacing w:after="80" w:lineRule="auto" w:line="280"/>
        <w:rPr/>
      </w:pPr>
      <w:r>
        <w:rPr>
          <w:rFonts w:ascii="Times New Roman" w:cs="Times New Roman" w:eastAsia="Times New Roman" w:hAnsi="Times New Roman"/>
          <w:color w:val="000000"/>
          <w:sz w:val="28"/>
          <w:szCs w:val="28"/>
        </w:rPr>
        <w:t>Build and publicly release larger, real-world e-waste image/sensor datasets covering occlusion, stacking, damage, and varied lighting to improve model robustness beyond curated benchmarks.</w:t>
      </w:r>
    </w:p>
    <w:p w14:paraId="71C882A4">
      <w:pPr>
        <w:pStyle w:val="style179"/>
        <w:numPr>
          <w:ilvl w:val="0"/>
          <w:numId w:val="1"/>
        </w:numPr>
        <w:spacing w:after="80" w:lineRule="auto" w:line="280"/>
        <w:rPr/>
      </w:pPr>
      <w:r>
        <w:rPr>
          <w:rFonts w:ascii="Times New Roman" w:cs="Times New Roman" w:eastAsia="Times New Roman" w:hAnsi="Times New Roman"/>
          <w:color w:val="000000"/>
          <w:sz w:val="28"/>
          <w:szCs w:val="28"/>
        </w:rPr>
        <w:t>Design end-to-end platforms that fuse AI perception, IoT monitoring, and optimisation-based routing (e.g., GA or reinforcement-learning-based dispatch) specifically tuned to the irregular, bulkier generation pattern of e-waste.</w:t>
      </w:r>
    </w:p>
    <w:p w14:paraId="664D8972">
      <w:pPr>
        <w:pStyle w:val="style179"/>
        <w:numPr>
          <w:ilvl w:val="0"/>
          <w:numId w:val="1"/>
        </w:numPr>
        <w:spacing w:after="80" w:lineRule="auto" w:line="280"/>
        <w:rPr/>
      </w:pPr>
      <w:r>
        <w:rPr>
          <w:rFonts w:ascii="Times New Roman" w:cs="Times New Roman" w:eastAsia="Times New Roman" w:hAnsi="Times New Roman"/>
          <w:color w:val="000000"/>
          <w:sz w:val="28"/>
          <w:szCs w:val="28"/>
        </w:rPr>
        <w:t>Explore edge-AI deployment (on-device inference, model compression) to reduce cloud dependency and support low-connectivity regions identified in the adoption-barrier literature.</w:t>
      </w:r>
    </w:p>
    <w:p w14:paraId="18AEBF9C">
      <w:pPr>
        <w:pStyle w:val="style179"/>
        <w:numPr>
          <w:ilvl w:val="0"/>
          <w:numId w:val="1"/>
        </w:numPr>
        <w:spacing w:after="80" w:lineRule="auto" w:line="280"/>
        <w:rPr/>
      </w:pPr>
      <w:r>
        <w:rPr>
          <w:rFonts w:ascii="Times New Roman" w:cs="Times New Roman" w:eastAsia="Times New Roman" w:hAnsi="Times New Roman"/>
          <w:color w:val="000000"/>
          <w:sz w:val="28"/>
          <w:szCs w:val="28"/>
        </w:rPr>
        <w:t>Incorporate blockchain- or ledger-based traceability alongside AI classification to strengthen anti-fraud tracking and formal-recycler accountability, building on the tracking-record concept proposed in Green Grid.</w:t>
      </w:r>
    </w:p>
    <w:p w14:paraId="387EE4EF">
      <w:pPr>
        <w:pStyle w:val="style179"/>
        <w:numPr>
          <w:ilvl w:val="0"/>
          <w:numId w:val="1"/>
        </w:numPr>
        <w:spacing w:after="80" w:lineRule="auto" w:line="280"/>
        <w:rPr/>
      </w:pPr>
      <w:r>
        <w:rPr>
          <w:rFonts w:ascii="Times New Roman" w:cs="Times New Roman" w:eastAsia="Times New Roman" w:hAnsi="Times New Roman"/>
          <w:color w:val="000000"/>
          <w:sz w:val="28"/>
          <w:szCs w:val="28"/>
        </w:rPr>
        <w:t>Develop and evaluate citizen-facing incentive mechanisms (rewards, gamification, reporting apps) integrated with the AI-IoT back-end, and measure their effect on formal e-waste collection rates.</w:t>
      </w:r>
    </w:p>
    <w:p w14:paraId="E49DEB84">
      <w:pPr>
        <w:pStyle w:val="style179"/>
        <w:numPr>
          <w:ilvl w:val="0"/>
          <w:numId w:val="1"/>
        </w:numPr>
        <w:spacing w:after="80" w:lineRule="auto" w:line="280"/>
        <w:rPr/>
      </w:pPr>
      <w:r>
        <w:rPr>
          <w:rFonts w:ascii="Times New Roman" w:cs="Times New Roman" w:eastAsia="Times New Roman" w:hAnsi="Times New Roman"/>
          <w:color w:val="000000"/>
          <w:sz w:val="28"/>
          <w:szCs w:val="28"/>
        </w:rPr>
        <w:t>Formalise cost-benefit and regulatory/ethical evaluation frameworks so AI-IoT e-waste platforms can be assessed for feasibility in developing-country deployments, not only technical accuracy.</w:t>
      </w:r>
    </w:p>
    <w:p w14:paraId="555314BD">
      <w:pPr>
        <w:pStyle w:val="style0"/>
        <w:spacing w:after="60"/>
        <w:rPr/>
      </w:pPr>
    </w:p>
    <w:p w14:paraId="B873AFF8">
      <w:pPr>
        <w:pStyle w:val="style4097"/>
        <w:spacing w:before="320" w:after="160"/>
        <w:rPr/>
      </w:pPr>
      <w:r>
        <w:t>7. Conclusion</w:t>
      </w:r>
    </w:p>
    <w:p w14:paraId="AE1D700D">
      <w:pPr>
        <w:pStyle w:val="style0"/>
        <w:spacing w:after="160" w:lineRule="auto" w:line="300"/>
        <w:jc w:val="both"/>
        <w:rPr/>
      </w:pPr>
      <w:r>
        <w:rPr>
          <w:rFonts w:ascii="Times New Roman" w:cs="Times New Roman" w:eastAsia="Times New Roman" w:hAnsi="Times New Roman"/>
          <w:color w:val="000000"/>
          <w:sz w:val="28"/>
          <w:szCs w:val="28"/>
        </w:rPr>
        <w:t>The reviewed literature shows that individual building blocks for an AI-based smart e-waste platform — high-accuracy visual classification, IoT-based bin monitoring, and optimisation-driven routing — are each well studied and increasingly mature. However, an integrated, end-to-end platform that combines all three layers, validated on realistic e-waste data, deployable in low-connectivity settings, and paired with citizen incentives and formal recycler traceability, remains an open research problem. This gap defines a concrete and well-motivated direction for the proposed AI-Based Smart E-Waste Collection and Recycling Management Platform.</w:t>
      </w:r>
    </w:p>
    <w:p w14:paraId="505EDC07">
      <w:pPr>
        <w:pStyle w:val="style4097"/>
        <w:spacing w:before="320" w:after="160"/>
        <w:rPr/>
      </w:pPr>
      <w:r>
        <w:t>8. References</w:t>
      </w:r>
    </w:p>
    <w:p w14:paraId="58E49B39">
      <w:pPr>
        <w:pStyle w:val="style0"/>
        <w:spacing w:after="160" w:lineRule="auto" w:line="300"/>
        <w:jc w:val="both"/>
        <w:rPr/>
      </w:pPr>
      <w:r>
        <w:rPr>
          <w:rFonts w:ascii="Times New Roman" w:cs="Times New Roman" w:eastAsia="Times New Roman" w:hAnsi="Times New Roman"/>
          <w:color w:val="000000"/>
          <w:sz w:val="20"/>
          <w:szCs w:val="20"/>
        </w:rPr>
        <w:t>[1] D. Voskergian and I. Ishaq, "Smart e-waste management system utilizing Internet of Things and Deep Learning approaches," Journal of Smart Cities and Society, 2023.</w:t>
      </w:r>
    </w:p>
    <w:p w14:paraId="910E92C4">
      <w:pPr>
        <w:pStyle w:val="style0"/>
        <w:spacing w:after="160" w:lineRule="auto" w:line="300"/>
        <w:jc w:val="both"/>
        <w:rPr/>
      </w:pPr>
      <w:r>
        <w:rPr>
          <w:rFonts w:ascii="Times New Roman" w:cs="Times New Roman" w:eastAsia="Times New Roman" w:hAnsi="Times New Roman"/>
          <w:color w:val="000000"/>
          <w:sz w:val="20"/>
          <w:szCs w:val="20"/>
        </w:rPr>
        <w:t>[2] P. Nowakowski et al., "Application of deep learning object classifier to improve e-waste collection planning," 2020.</w:t>
      </w:r>
    </w:p>
    <w:p w14:paraId="5C66390D">
      <w:pPr>
        <w:pStyle w:val="style0"/>
        <w:spacing w:after="160" w:lineRule="auto" w:line="300"/>
        <w:jc w:val="both"/>
        <w:rPr/>
      </w:pPr>
      <w:r>
        <w:rPr>
          <w:rFonts w:ascii="Times New Roman" w:cs="Times New Roman" w:eastAsia="Times New Roman" w:hAnsi="Times New Roman"/>
          <w:color w:val="000000"/>
          <w:sz w:val="20"/>
          <w:szCs w:val="20"/>
        </w:rPr>
        <w:t>[3] "E-waste Classification Using Pre-trained Deep Learning CNN Model," in Advances in Intelligent Systems, Springer Nature, 2024.</w:t>
      </w:r>
    </w:p>
    <w:p w14:paraId="44A13465">
      <w:pPr>
        <w:pStyle w:val="style0"/>
        <w:spacing w:after="160" w:lineRule="auto" w:line="300"/>
        <w:jc w:val="both"/>
        <w:rPr/>
      </w:pPr>
      <w:r>
        <w:rPr>
          <w:rFonts w:ascii="Times New Roman" w:cs="Times New Roman" w:eastAsia="Times New Roman" w:hAnsi="Times New Roman"/>
          <w:color w:val="000000"/>
          <w:sz w:val="20"/>
          <w:szCs w:val="20"/>
        </w:rPr>
        <w:t>[4] "Green Grid: Smart Tech Meets E-Waste," arXiv preprint, 2025.</w:t>
      </w:r>
    </w:p>
    <w:p w14:paraId="FA928F87">
      <w:pPr>
        <w:pStyle w:val="style0"/>
        <w:spacing w:after="160" w:lineRule="auto" w:line="300"/>
        <w:jc w:val="both"/>
        <w:rPr/>
      </w:pPr>
      <w:r>
        <w:rPr>
          <w:rFonts w:ascii="Times New Roman" w:cs="Times New Roman" w:eastAsia="Times New Roman" w:hAnsi="Times New Roman"/>
          <w:color w:val="000000"/>
          <w:sz w:val="20"/>
          <w:szCs w:val="20"/>
        </w:rPr>
        <w:t>[5] "An IoT- and Cloud-Based E-Waste Management System for Resource Reclamation with a Data-Driven Decision-Making Process," ResearchGate, 2023.</w:t>
      </w:r>
    </w:p>
    <w:p w14:paraId="B1675EB3">
      <w:pPr>
        <w:pStyle w:val="style0"/>
        <w:spacing w:after="160" w:lineRule="auto" w:line="300"/>
        <w:jc w:val="both"/>
        <w:rPr/>
      </w:pPr>
      <w:r>
        <w:rPr>
          <w:rFonts w:ascii="Times New Roman" w:cs="Times New Roman" w:eastAsia="Times New Roman" w:hAnsi="Times New Roman"/>
          <w:color w:val="000000"/>
          <w:sz w:val="20"/>
          <w:szCs w:val="20"/>
        </w:rPr>
        <w:t>[6] "Revolutionizing urban solid waste management with AI and IoT: A review of smart solutions for waste collection, sorting, and recycling," ScienceDirect, 2025.</w:t>
      </w:r>
    </w:p>
    <w:p w14:paraId="F8A32644">
      <w:pPr>
        <w:pStyle w:val="style0"/>
        <w:spacing w:after="160" w:lineRule="auto" w:line="300"/>
        <w:jc w:val="both"/>
        <w:rPr/>
      </w:pPr>
      <w:r>
        <w:rPr>
          <w:rFonts w:ascii="Times New Roman" w:cs="Times New Roman" w:eastAsia="Times New Roman" w:hAnsi="Times New Roman"/>
          <w:color w:val="000000"/>
          <w:sz w:val="20"/>
          <w:szCs w:val="20"/>
        </w:rPr>
        <w:t>[7] "Artificial Intelligence and IoT for Smart Waste Management: Challenges, Opportunities, and Future Directions," ResearchGate, 2025.</w:t>
      </w:r>
    </w:p>
    <w:p w14:paraId="ECF96B84">
      <w:pPr>
        <w:pStyle w:val="style0"/>
        <w:spacing w:after="160" w:lineRule="auto" w:line="300"/>
        <w:jc w:val="both"/>
        <w:rPr/>
      </w:pPr>
      <w:r>
        <w:rPr>
          <w:rFonts w:ascii="Times New Roman" w:cs="Times New Roman" w:eastAsia="Times New Roman" w:hAnsi="Times New Roman"/>
          <w:color w:val="000000"/>
          <w:sz w:val="20"/>
          <w:szCs w:val="20"/>
        </w:rPr>
        <w:t>[8] "Smart Waste Management System using IOT (IoTGAWMS)," ResearchGate, 2020.</w:t>
      </w:r>
    </w:p>
    <w:sectPr>
      <w:pgSz w:w="12240" w:h="15840" w:orient="portrait"/>
      <w:pgMar w:top="1080" w:right="1080" w:bottom="1080" w:left="1080" w:header="708" w:footer="708" w:gutter="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FFFFFFFF"/>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
    <w:nsid w:val="00000001"/>
    <w:multiLevelType w:val="hybridMultilevel"/>
    <w:tmpl w:val="FFFFFFFF"/>
    <w:lvl w:ilvl="0" w:tentative="1">
      <w:start w:val="1"/>
      <w:numFmt w:val="bullet"/>
      <w:lvlText w:val="•"/>
      <w:lvlJc w:val="left"/>
      <w:pPr>
        <w:ind w:left="360" w:hanging="260"/>
      </w:pPr>
    </w:lvl>
  </w:abstractNum>
  <w:num w:numId="1">
    <w:abstractNumId w:val="0"/>
    <w:lvlOverride w:ilvl="0">
      <w:startOverride w:val="1"/>
    </w:lvlOverride>
  </w:num>
</w:numbering>
</file>

<file path=word/settings.xml><?xml version="1.0" encoding="utf-8"?>
<w:settings xmlns:w="http://schemas.openxmlformats.org/wordprocessingml/2006/main" xmlns:r="http://schemas.openxmlformats.org/officeDocument/2006/relationships" xmlns:m="http://schemas.openxmlformats.org/officeDocument/2006/math">
  <w:displayBackgroundShape/>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compat>
    <w:compatSetting w:name="compatibilityMode" w:uri="http://schemas.microsoft.com/office/word" w:val="15"/>
  </w:compat>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Times New Roman" w:cs="Times New Roman" w:eastAsia="Times New Roman" w:hAnsi="Times New Roman"/>
        <w:color w:val="000000"/>
        <w:sz w:val="28"/>
        <w:szCs w:val="28"/>
      </w:rPr>
    </w:rPrDefault>
    <w:pPrDefault>
      <w:pPr/>
    </w:pPrDefault>
  </w:docDefaults>
  <w:style w:type="paragraph" w:styleId="style62">
    <w:name w:val="Title"/>
    <w:next w:val="style62"/>
    <w:qFormat/>
    <w:pPr/>
    <w:rPr>
      <w:sz w:val="56"/>
      <w:szCs w:val="56"/>
    </w:rPr>
  </w:style>
  <w:style w:type="paragraph" w:customStyle="1" w:styleId="style4097">
    <w:name w:val="Heading 1"/>
    <w:next w:val="style4097"/>
    <w:qFormat/>
    <w:pPr>
      <w:spacing w:before="320" w:after="160"/>
    </w:pPr>
    <w:rPr>
      <w:rFonts w:ascii="Times New Roman" w:cs="Times New Roman" w:eastAsia="Times New Roman" w:hAnsi="Times New Roman"/>
      <w:b/>
      <w:bCs/>
      <w:color w:val="000000"/>
      <w:sz w:val="36"/>
      <w:szCs w:val="36"/>
    </w:rPr>
  </w:style>
  <w:style w:type="paragraph" w:customStyle="1" w:styleId="style4098">
    <w:name w:val="Heading 2"/>
    <w:next w:val="style4098"/>
    <w:qFormat/>
    <w:pPr>
      <w:spacing w:before="240" w:after="120"/>
    </w:pPr>
    <w:rPr>
      <w:rFonts w:ascii="Times New Roman" w:cs="Times New Roman" w:eastAsia="Times New Roman" w:hAnsi="Times New Roman"/>
      <w:b/>
      <w:bCs/>
      <w:color w:val="000000"/>
      <w:sz w:val="36"/>
      <w:szCs w:val="36"/>
    </w:rPr>
  </w:style>
  <w:style w:type="paragraph" w:customStyle="1" w:styleId="style4099">
    <w:name w:val="Heading 3"/>
    <w:next w:val="style4099"/>
    <w:qFormat/>
    <w:pPr/>
    <w:rPr>
      <w:color w:val="1f4d78"/>
      <w:sz w:val="24"/>
      <w:szCs w:val="24"/>
    </w:rPr>
  </w:style>
  <w:style w:type="paragraph" w:customStyle="1" w:styleId="style4100">
    <w:name w:val="Heading 4"/>
    <w:next w:val="style4100"/>
    <w:qFormat/>
    <w:pPr/>
    <w:rPr>
      <w:i/>
      <w:iCs/>
      <w:color w:val="2e74b5"/>
    </w:rPr>
  </w:style>
  <w:style w:type="paragraph" w:customStyle="1" w:styleId="style4101">
    <w:name w:val="Heading 5"/>
    <w:next w:val="style4101"/>
    <w:qFormat/>
    <w:pPr/>
    <w:rPr>
      <w:color w:val="2e74b5"/>
    </w:rPr>
  </w:style>
  <w:style w:type="paragraph" w:customStyle="1" w:styleId="style4102">
    <w:name w:val="Heading 6"/>
    <w:next w:val="style4102"/>
    <w:qFormat/>
    <w:pPr/>
    <w:rPr>
      <w:color w:val="1f4d78"/>
    </w:rPr>
  </w:style>
  <w:style w:type="paragraph" w:customStyle="1" w:styleId="style4103">
    <w:name w:val="Strong_dcb0587b-6178-4a7a-8c72-888f6179f141"/>
    <w:next w:val="style4103"/>
    <w:qFormat/>
    <w:pPr/>
    <w:rPr>
      <w:b/>
      <w:bCs/>
    </w:rPr>
  </w:style>
  <w:style w:type="paragraph" w:styleId="style179">
    <w:name w:val="List Paragraph"/>
    <w:next w:val="style179"/>
    <w:qFormat/>
    <w:pPr/>
  </w:style>
  <w:style w:type="character" w:styleId="style85">
    <w:name w:val="Hyperlink"/>
    <w:next w:val="style85"/>
    <w:uiPriority w:val="99"/>
    <w:rPr>
      <w:color w:val="0563c1"/>
      <w:u w:val="single"/>
    </w:rPr>
  </w:style>
  <w:style w:type="character" w:styleId="style38">
    <w:name w:val="footnote reference"/>
    <w:next w:val="style38"/>
    <w:uiPriority w:val="99"/>
    <w:rPr>
      <w:vertAlign w:val="superscript"/>
    </w:rPr>
  </w:style>
  <w:style w:type="paragraph" w:styleId="style29">
    <w:name w:val="footnote text"/>
    <w:next w:val="style29"/>
    <w:link w:val="style4104"/>
    <w:uiPriority w:val="99"/>
    <w:pPr>
      <w:spacing w:after="0" w:lineRule="auto" w:line="240"/>
    </w:pPr>
    <w:rPr>
      <w:sz w:val="20"/>
      <w:szCs w:val="20"/>
    </w:rPr>
  </w:style>
  <w:style w:type="character" w:customStyle="1" w:styleId="style4104">
    <w:name w:val="Footnote Text Char"/>
    <w:next w:val="style4104"/>
    <w:link w:val="style29"/>
    <w:uiPriority w:val="99"/>
    <w:rPr>
      <w:sz w:val="20"/>
      <w:szCs w:val="20"/>
    </w:rPr>
  </w:style>
  <w:style w:type="character" w:styleId="style42">
    <w:name w:val="endnote reference"/>
    <w:next w:val="style42"/>
    <w:uiPriority w:val="99"/>
    <w:rPr>
      <w:vertAlign w:val="superscript"/>
    </w:rPr>
  </w:style>
  <w:style w:type="paragraph" w:styleId="style43">
    <w:name w:val="endnote text"/>
    <w:next w:val="style43"/>
    <w:link w:val="style4105"/>
    <w:uiPriority w:val="99"/>
    <w:pPr>
      <w:spacing w:after="0" w:lineRule="auto" w:line="240"/>
    </w:pPr>
    <w:rPr>
      <w:sz w:val="20"/>
      <w:szCs w:val="20"/>
    </w:rPr>
  </w:style>
  <w:style w:type="character" w:customStyle="1" w:styleId="style4105">
    <w:name w:val="Endnote Text Char"/>
    <w:next w:val="style4105"/>
    <w:link w:val="style43"/>
    <w:uiPriority w:val="99"/>
    <w:rPr>
      <w:sz w:val="20"/>
      <w:szCs w:val="20"/>
    </w:rPr>
  </w:style>
  <w:style w:type="paragraph" w:default="1" w:styleId="style0">
    <w:name w:val="Normal"/>
    <w:pPr>
      <w:jc w:val="both"/>
    </w:pPr>
    <w:rPr>
      <w:sz w:val="21"/>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2358</Words>
  <Characters>15895</Characters>
  <Application>WPS Office</Application>
  <Paragraphs>168</Paragraphs>
  <CharactersWithSpaces>18102</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2026-08-29T08:23:43Z</dcterms:created>
  <dc:creator>Un-named</dc:creator>
  <lastModifiedBy>CPH2603</lastModifiedBy>
  <dcterms:modified xsi:type="dcterms:W3CDTF">2026-08-29T08:23:43Z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5e53c0460f2b412fbe41775f4c6436e4_23</vt:lpwstr>
  </property>
</Properties>
</file>