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 w14:paraId="2EF13E52">
      <w:pPr>
        <w:pStyle w:val="style0"/>
        <w:spacing w:after="80"/>
        <w:jc w:val="center"/>
        <w:rPr>
          <w:rFonts w:ascii="Calibri" w:cs="Calibri" w:eastAsia="Calibri" w:hAnsi="Calibri"/>
          <w:b/>
          <w:bCs/>
          <w:color w:val="000000"/>
          <w:sz w:val="44"/>
          <w:szCs w:val="44"/>
        </w:rPr>
      </w:pPr>
    </w:p>
    <w:p w14:paraId="651317C8">
      <w:pPr>
        <w:pStyle w:val="style0"/>
        <w:spacing w:after="80"/>
        <w:jc w:val="center"/>
        <w:rPr>
          <w:rFonts w:ascii="Calibri" w:cs="Calibri" w:eastAsia="Calibri" w:hAnsi="Calibri"/>
          <w:b/>
          <w:bCs/>
          <w:color w:val="000000"/>
          <w:sz w:val="44"/>
          <w:szCs w:val="44"/>
        </w:rPr>
      </w:pPr>
    </w:p>
    <w:p w14:paraId="71E37208">
      <w:pPr>
        <w:pStyle w:val="style0"/>
        <w:spacing w:after="80"/>
        <w:jc w:val="center"/>
        <w:rPr>
          <w:rFonts w:ascii="Calibri" w:cs="Calibri" w:eastAsia="Calibri" w:hAnsi="Calibri"/>
          <w:b/>
          <w:bCs/>
          <w:color w:val="000000"/>
          <w:sz w:val="44"/>
          <w:szCs w:val="44"/>
        </w:rPr>
      </w:pPr>
    </w:p>
    <w:p w14:paraId="6BC4385F">
      <w:pPr>
        <w:pStyle w:val="style0"/>
        <w:spacing w:after="80"/>
        <w:jc w:val="center"/>
        <w:rPr>
          <w:rFonts w:ascii="Calibri" w:cs="Calibri" w:eastAsia="Calibri" w:hAnsi="Calibri"/>
          <w:b/>
          <w:bCs/>
          <w:color w:val="000000"/>
          <w:sz w:val="44"/>
          <w:szCs w:val="44"/>
        </w:rPr>
      </w:pPr>
    </w:p>
    <w:p w14:paraId="3D21530F">
      <w:pPr>
        <w:pStyle w:val="style0"/>
        <w:spacing w:after="80"/>
        <w:jc w:val="center"/>
        <w:rPr>
          <w:rFonts w:ascii="Calibri" w:cs="Calibri" w:eastAsia="Calibri" w:hAnsi="Calibri"/>
          <w:b/>
          <w:bCs/>
          <w:color w:val="000000"/>
          <w:sz w:val="44"/>
          <w:szCs w:val="44"/>
        </w:rPr>
      </w:pPr>
    </w:p>
    <w:p w14:paraId="32DDD284">
      <w:pPr>
        <w:pStyle w:val="style0"/>
        <w:spacing w:after="80"/>
        <w:jc w:val="center"/>
        <w:rPr>
          <w:rFonts w:ascii="Calibri" w:cs="Calibri" w:eastAsia="Calibri" w:hAnsi="Calibri"/>
          <w:b/>
          <w:bCs/>
          <w:color w:val="000000"/>
          <w:sz w:val="44"/>
          <w:szCs w:val="44"/>
        </w:rPr>
      </w:pPr>
    </w:p>
    <w:p w14:paraId="783696E1">
      <w:pPr>
        <w:pStyle w:val="style0"/>
        <w:spacing w:after="80"/>
        <w:jc w:val="center"/>
        <w:rPr/>
      </w:pPr>
      <w:r>
        <w:rPr>
          <w:rFonts w:ascii="Calibri" w:cs="Calibri" w:eastAsia="Calibri" w:hAnsi="Calibri"/>
          <w:b/>
          <w:bCs/>
          <w:color w:val="000000"/>
          <w:sz w:val="44"/>
          <w:szCs w:val="44"/>
        </w:rPr>
        <w:t>Architecture Design Report</w:t>
      </w:r>
    </w:p>
    <w:p w14:paraId="61471FFC">
      <w:pPr>
        <w:pStyle w:val="style0"/>
        <w:spacing w:after="40"/>
        <w:jc w:val="center"/>
        <w:rPr/>
      </w:pPr>
      <w:r>
        <w:rPr>
          <w:rFonts w:ascii="Calibri" w:cs="Calibri" w:eastAsia="Calibri" w:hAnsi="Calibri"/>
          <w:b/>
          <w:bCs/>
          <w:color w:val="333333"/>
          <w:sz w:val="26"/>
          <w:szCs w:val="26"/>
        </w:rPr>
        <w:t>AI-Based Smart E-Waste Collection and Recycling Management Platform</w:t>
      </w:r>
    </w:p>
    <w:p w14:paraId="7D9A0696">
      <w:pPr>
        <w:pStyle w:val="style0"/>
        <w:spacing w:after="300"/>
        <w:jc w:val="center"/>
        <w:rPr>
          <w:b/>
          <w:bCs/>
        </w:rPr>
      </w:pPr>
      <w:r>
        <w:rPr>
          <w:rFonts w:eastAsia="Calibri"/>
          <w:b/>
          <w:bCs/>
          <w:color w:val="555555"/>
          <w:sz w:val="22"/>
          <w:szCs w:val="22"/>
        </w:rPr>
        <w:t>CSA10 – Software Engineering | CO2 Assessment Tool 2 – Architecture Design Assignment</w:t>
      </w:r>
    </w:p>
    <w:p w14:paraId="222B96AF">
      <w:pPr>
        <w:pStyle w:val="style0"/>
        <w:spacing w:before="400" w:after="200"/>
        <w:rPr>
          <w:rFonts w:ascii="Calibri" w:cs="Calibri" w:eastAsia="Calibri" w:hAnsi="Calibri"/>
          <w:b/>
          <w:bCs/>
          <w:color w:val="000000"/>
          <w:sz w:val="36"/>
          <w:szCs w:val="36"/>
        </w:rPr>
      </w:pPr>
    </w:p>
    <w:p w14:paraId="34193F46">
      <w:pPr>
        <w:pStyle w:val="style0"/>
        <w:spacing w:before="400" w:after="200"/>
        <w:rPr>
          <w:rFonts w:ascii="Calibri" w:cs="Calibri" w:eastAsia="Calibri" w:hAnsi="Calibri"/>
          <w:b/>
          <w:bCs/>
          <w:color w:val="000000"/>
          <w:sz w:val="36"/>
          <w:szCs w:val="36"/>
        </w:rPr>
      </w:pPr>
    </w:p>
    <w:p w14:paraId="76A8D109">
      <w:pPr>
        <w:pStyle w:val="style0"/>
        <w:spacing w:before="400" w:after="200"/>
        <w:rPr>
          <w:rFonts w:ascii="Calibri" w:cs="Calibri" w:eastAsia="Calibri" w:hAnsi="Calibri"/>
          <w:b/>
          <w:bCs/>
          <w:color w:val="000000"/>
          <w:sz w:val="36"/>
          <w:szCs w:val="36"/>
        </w:rPr>
      </w:pPr>
    </w:p>
    <w:p w14:paraId="4BFFC628">
      <w:pPr>
        <w:pStyle w:val="style0"/>
        <w:spacing w:before="400" w:after="200"/>
        <w:rPr>
          <w:rFonts w:ascii="Calibri" w:cs="Calibri" w:eastAsia="Calibri" w:hAnsi="Calibri"/>
          <w:b/>
          <w:bCs/>
          <w:color w:val="000000"/>
          <w:sz w:val="36"/>
          <w:szCs w:val="36"/>
        </w:rPr>
      </w:pPr>
    </w:p>
    <w:p w14:paraId="76912CDD">
      <w:pPr>
        <w:pStyle w:val="style0"/>
        <w:spacing w:before="400" w:after="200"/>
        <w:rPr>
          <w:rFonts w:ascii="Calibri" w:cs="Calibri" w:eastAsia="Calibri" w:hAnsi="Calibri"/>
          <w:b/>
          <w:bCs/>
          <w:color w:val="000000"/>
          <w:sz w:val="36"/>
          <w:szCs w:val="36"/>
        </w:rPr>
      </w:pPr>
    </w:p>
    <w:p w14:paraId="6BE8E94C">
      <w:pPr>
        <w:pStyle w:val="style0"/>
        <w:spacing w:before="400" w:after="200"/>
        <w:rPr>
          <w:rFonts w:ascii="Calibri" w:cs="Calibri" w:eastAsia="Calibri" w:hAnsi="Calibri"/>
          <w:b/>
          <w:bCs/>
          <w:color w:val="000000"/>
          <w:sz w:val="36"/>
          <w:szCs w:val="36"/>
        </w:rPr>
      </w:pPr>
    </w:p>
    <w:p w14:paraId="1398A82D">
      <w:pPr>
        <w:pStyle w:val="style0"/>
        <w:spacing w:before="400" w:after="200"/>
        <w:rPr>
          <w:rFonts w:ascii="Calibri" w:cs="Calibri" w:eastAsia="Calibri" w:hAnsi="Calibri"/>
          <w:b/>
          <w:bCs/>
          <w:color w:val="000000"/>
          <w:sz w:val="36"/>
          <w:szCs w:val="36"/>
        </w:rPr>
      </w:pPr>
    </w:p>
    <w:p w14:paraId="445374E6">
      <w:pPr>
        <w:pStyle w:val="style0"/>
        <w:spacing w:before="400" w:after="200"/>
        <w:rPr>
          <w:rFonts w:ascii="Calibri" w:cs="Calibri" w:eastAsia="Calibri" w:hAnsi="Calibri"/>
          <w:b/>
          <w:bCs/>
          <w:color w:val="000000"/>
          <w:sz w:val="36"/>
          <w:szCs w:val="36"/>
        </w:rPr>
      </w:pPr>
    </w:p>
    <w:p w14:paraId="7CF30CC6">
      <w:pPr>
        <w:pStyle w:val="style0"/>
        <w:spacing w:before="400" w:after="200"/>
        <w:rPr>
          <w:rFonts w:ascii="Calibri" w:cs="Calibri" w:eastAsia="Calibri" w:hAnsi="Calibri"/>
          <w:b/>
          <w:bCs/>
          <w:color w:val="000000"/>
          <w:sz w:val="36"/>
          <w:szCs w:val="36"/>
        </w:rPr>
      </w:pPr>
    </w:p>
    <w:p w14:paraId="0E99B5DF">
      <w:pPr>
        <w:pStyle w:val="style0"/>
        <w:spacing w:before="400" w:after="200"/>
        <w:rPr>
          <w:rFonts w:ascii="Calibri" w:cs="Calibri" w:eastAsia="Calibri" w:hAnsi="Calibri"/>
          <w:b/>
          <w:bCs/>
          <w:color w:val="000000"/>
          <w:sz w:val="36"/>
          <w:szCs w:val="36"/>
        </w:rPr>
      </w:pPr>
    </w:p>
    <w:p w14:paraId="5081E620">
      <w:pPr>
        <w:pStyle w:val="style0"/>
        <w:spacing w:before="400" w:after="200"/>
        <w:rPr>
          <w:rFonts w:ascii="Calibri" w:cs="Calibri" w:eastAsia="Calibri" w:hAnsi="Calibri"/>
          <w:b/>
          <w:bCs/>
          <w:color w:val="000000"/>
          <w:sz w:val="36"/>
          <w:szCs w:val="36"/>
        </w:rPr>
      </w:pPr>
    </w:p>
    <w:p w14:paraId="443060A8">
      <w:pPr>
        <w:pStyle w:val="style0"/>
        <w:spacing w:before="400" w:after="200"/>
        <w:rPr>
          <w:rFonts w:ascii="Calibri" w:cs="Calibri" w:eastAsia="Calibri" w:hAnsi="Calibri"/>
          <w:b/>
          <w:bCs/>
          <w:color w:val="000000"/>
          <w:sz w:val="36"/>
          <w:szCs w:val="36"/>
        </w:rPr>
      </w:pPr>
    </w:p>
    <w:p w14:paraId="7B3CC785">
      <w:pPr>
        <w:pStyle w:val="style0"/>
        <w:spacing w:before="400" w:after="200"/>
        <w:rPr>
          <w:rFonts w:ascii="Calibri" w:cs="Calibri" w:eastAsia="Calibri" w:hAnsi="Calibri"/>
          <w:b/>
          <w:bCs/>
          <w:color w:val="000000"/>
          <w:sz w:val="36"/>
          <w:szCs w:val="36"/>
        </w:rPr>
      </w:pPr>
    </w:p>
    <w:p w14:paraId="4AD0D8CC">
      <w:pPr>
        <w:pStyle w:val="style0"/>
        <w:spacing w:before="400" w:after="200"/>
        <w:rPr>
          <w:rFonts w:ascii="Calibri" w:cs="Calibri" w:eastAsia="Calibri" w:hAnsi="Calibri"/>
          <w:b/>
          <w:bCs/>
          <w:color w:val="000000"/>
          <w:sz w:val="36"/>
          <w:szCs w:val="36"/>
        </w:rPr>
      </w:pPr>
    </w:p>
    <w:p w14:paraId="368D99AE">
      <w:pPr>
        <w:pStyle w:val="style0"/>
        <w:spacing w:before="400" w:after="200" w:lineRule="auto" w:line="276"/>
        <w:rPr/>
      </w:pPr>
      <w:r>
        <w:rPr>
          <w:rFonts w:eastAsia="Calibri"/>
          <w:b/>
          <w:bCs/>
          <w:color w:val="000000"/>
          <w:sz w:val="36"/>
          <w:szCs w:val="36"/>
        </w:rPr>
        <w:t>1</w:t>
      </w:r>
      <w:r>
        <w:rPr>
          <w:rFonts w:eastAsia="Calibri"/>
          <w:b/>
          <w:bCs/>
          <w:color w:val="000000"/>
          <w:sz w:val="36"/>
          <w:szCs w:val="36"/>
        </w:rPr>
        <w:t>. Analysis of System Requirements</w:t>
      </w:r>
    </w:p>
    <w:p w14:paraId="714D7C3E">
      <w:pPr>
        <w:pStyle w:val="style0"/>
        <w:spacing w:before="240" w:after="120" w:lineRule="auto" w:line="276"/>
        <w:rPr/>
      </w:pPr>
      <w:r>
        <w:rPr>
          <w:rFonts w:eastAsia="Calibri"/>
          <w:b/>
          <w:bCs/>
          <w:color w:val="000000"/>
          <w:sz w:val="30"/>
          <w:szCs w:val="30"/>
        </w:rPr>
        <w:t>1.1 System Objectives</w:t>
      </w:r>
    </w:p>
    <w:p w14:paraId="44A43861">
      <w:pPr>
        <w:pStyle w:val="style0"/>
        <w:spacing w:after="160" w:lineRule="auto" w:line="276"/>
        <w:jc w:val="both"/>
        <w:rPr/>
      </w:pPr>
      <w:r>
        <w:rPr>
          <w:rFonts w:eastAsia="Calibri"/>
          <w:sz w:val="28"/>
          <w:szCs w:val="28"/>
        </w:rPr>
        <w:t xml:space="preserve">The proposed platform digitizes the entire e-waste lifecycle — from consumer pickup requests to final recycling — by coordinating consumers, collection </w:t>
      </w:r>
      <w:r>
        <w:rPr>
          <w:rFonts w:eastAsia="Calibri"/>
          <w:sz w:val="28"/>
          <w:szCs w:val="28"/>
        </w:rPr>
        <w:t>centers</w:t>
      </w:r>
      <w:r>
        <w:rPr>
          <w:rFonts w:eastAsia="Calibri"/>
          <w:sz w:val="28"/>
          <w:szCs w:val="28"/>
        </w:rPr>
        <w:t>, recycling facilities, and government regulators on a single intelligent platform. Its objectives are to:</w:t>
      </w:r>
    </w:p>
    <w:p w14:paraId="6B13C3C4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Digitize and streamline e-waste collection processes end-to-end.</w:t>
      </w:r>
    </w:p>
    <w:p w14:paraId="704A30EF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Classify electronic waste automatically using AI/ML models.</w:t>
      </w:r>
    </w:p>
    <w:p w14:paraId="69442F0B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Optimize collection routes using GIS and real-time traffic/IoT data.</w:t>
      </w:r>
    </w:p>
    <w:p w14:paraId="77CD9A53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Monitor recycling activities across partner facilities.</w:t>
      </w:r>
    </w:p>
    <w:p w14:paraId="25A6607C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Generate environmental impact and sustainability reports.</w:t>
      </w:r>
    </w:p>
    <w:p w14:paraId="7AD0321C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Improve coordination among consumers, collectors, recyclers, and regulators.</w:t>
      </w:r>
    </w:p>
    <w:p w14:paraId="201F5DCD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Promote responsible disposal and support circular-economy initiatives.</w:t>
      </w:r>
    </w:p>
    <w:p w14:paraId="6E5E3E3D">
      <w:pPr>
        <w:pStyle w:val="style0"/>
        <w:spacing w:before="240" w:after="120" w:lineRule="auto" w:line="276"/>
        <w:rPr/>
      </w:pPr>
      <w:r>
        <w:rPr>
          <w:rFonts w:eastAsia="Calibri"/>
          <w:b/>
          <w:bCs/>
          <w:color w:val="000000"/>
          <w:sz w:val="30"/>
          <w:szCs w:val="30"/>
        </w:rPr>
        <w:t>1.2 Functional Requirements</w:t>
      </w:r>
    </w:p>
    <w:p w14:paraId="30868FEA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Users shall be able to register, schedule, reschedule, and track e-waste pickups.</w:t>
      </w:r>
    </w:p>
    <w:p w14:paraId="354BD143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The system shall classify waste items (category, hazard level, recoverable material) using an AI vision/model service.</w:t>
      </w:r>
    </w:p>
    <w:p w14:paraId="38A7B53B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The system shall compute optimized collection routes for pickup vehicles based on location, volume, and traffic.</w:t>
      </w:r>
    </w:p>
    <w:p w14:paraId="14E073A0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 xml:space="preserve">Collection </w:t>
      </w:r>
      <w:r>
        <w:rPr>
          <w:rFonts w:eastAsia="Calibri"/>
          <w:sz w:val="28"/>
          <w:szCs w:val="28"/>
        </w:rPr>
        <w:t>centers</w:t>
      </w:r>
      <w:r>
        <w:rPr>
          <w:rFonts w:eastAsia="Calibri"/>
          <w:sz w:val="28"/>
          <w:szCs w:val="28"/>
        </w:rPr>
        <w:t xml:space="preserve"> and recyclers shall be able to update processing/recycling status in real time.</w:t>
      </w:r>
    </w:p>
    <w:p w14:paraId="01C076C7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The system shall generate sustainability and compliance reports for stakeholders and regulators.</w:t>
      </w:r>
    </w:p>
    <w:p w14:paraId="4F9965DE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The system shall send automated notifications (pickup confirmation, status updates, reminders).</w:t>
      </w:r>
    </w:p>
    <w:p w14:paraId="4AE5CA9E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The system shall integrate with IoT-enabled smart bins to detect fill-level and trigger pickups.</w:t>
      </w:r>
    </w:p>
    <w:p w14:paraId="6C9AFF7D">
      <w:pPr>
        <w:pStyle w:val="style0"/>
        <w:spacing w:before="240" w:after="120" w:lineRule="auto" w:line="276"/>
        <w:rPr/>
      </w:pPr>
      <w:r>
        <w:rPr>
          <w:rFonts w:eastAsia="Calibri"/>
          <w:b/>
          <w:bCs/>
          <w:color w:val="000000"/>
          <w:sz w:val="30"/>
          <w:szCs w:val="30"/>
        </w:rPr>
        <w:t>1.3 Non-Functional Requirements and Quality Attributes</w:t>
      </w:r>
    </w:p>
    <w:p w14:paraId="1148546D">
      <w:pPr>
        <w:pStyle w:val="style0"/>
        <w:spacing w:after="160" w:lineRule="auto" w:line="276"/>
        <w:jc w:val="both"/>
        <w:rPr/>
      </w:pPr>
      <w:r>
        <w:rPr>
          <w:rFonts w:eastAsia="Calibri"/>
          <w:sz w:val="28"/>
          <w:szCs w:val="28"/>
        </w:rPr>
        <w:t>Because the platform serves geographically distributed users, integrates external IoT/AI/GIS services, and handles regulatory data, the following quality attributes strongly influence the architecture:</w:t>
      </w:r>
    </w:p>
    <w:p w14:paraId="1EDB905F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Scalability: </w:t>
      </w:r>
      <w:r>
        <w:rPr>
          <w:rFonts w:eastAsia="Calibri"/>
          <w:sz w:val="28"/>
          <w:szCs w:val="28"/>
        </w:rPr>
        <w:t>the system must scale independently as pickup volume, IoT device count, or classification workload grows across cities.</w:t>
      </w:r>
    </w:p>
    <w:p w14:paraId="683E5DE2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Maintainability: </w:t>
      </w:r>
      <w:r>
        <w:rPr>
          <w:rFonts w:eastAsia="Calibri"/>
          <w:sz w:val="28"/>
          <w:szCs w:val="28"/>
        </w:rPr>
        <w:t>services must be independently updatable (e.g., improving the AI model) without redeploying the entire system.</w:t>
      </w:r>
    </w:p>
    <w:p w14:paraId="3BA48AFB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Reliability: </w:t>
      </w:r>
      <w:r>
        <w:rPr>
          <w:rFonts w:eastAsia="Calibri"/>
          <w:sz w:val="28"/>
          <w:szCs w:val="28"/>
        </w:rPr>
        <w:t>pickup scheduling and recycling-status data must remain consistent and fault-tolerant.</w:t>
      </w:r>
    </w:p>
    <w:p w14:paraId="32749DE5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Availability: </w:t>
      </w:r>
      <w:r>
        <w:rPr>
          <w:rFonts w:eastAsia="Calibri"/>
          <w:sz w:val="28"/>
          <w:szCs w:val="28"/>
        </w:rPr>
        <w:t>the platform must remain operational for time-sensitive pickup requests and IoT bin alerts.</w:t>
      </w:r>
    </w:p>
    <w:p w14:paraId="3EDA2472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Performance: </w:t>
      </w:r>
      <w:r>
        <w:rPr>
          <w:rFonts w:eastAsia="Calibri"/>
          <w:sz w:val="28"/>
          <w:szCs w:val="28"/>
        </w:rPr>
        <w:t>route optimization and AI classification must return results with low latency.</w:t>
      </w:r>
    </w:p>
    <w:p w14:paraId="51B5037A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Security: </w:t>
      </w:r>
      <w:r>
        <w:rPr>
          <w:rFonts w:eastAsia="Calibri"/>
          <w:sz w:val="28"/>
          <w:szCs w:val="28"/>
        </w:rPr>
        <w:t>user data, location data, and compliance reports must be protected against unauthorized access.</w:t>
      </w:r>
    </w:p>
    <w:p w14:paraId="285345E6">
      <w:pPr>
        <w:pStyle w:val="style0"/>
        <w:spacing w:before="240" w:after="120" w:lineRule="auto" w:line="276"/>
        <w:rPr/>
      </w:pPr>
      <w:r>
        <w:rPr>
          <w:rFonts w:eastAsia="Calibri"/>
          <w:b/>
          <w:bCs/>
          <w:color w:val="000000"/>
          <w:sz w:val="30"/>
          <w:szCs w:val="30"/>
        </w:rPr>
        <w:t>1.4 Key Stakeholders</w:t>
      </w:r>
    </w:p>
    <w:p w14:paraId="1DAD5595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Consumers/Households: </w:t>
      </w:r>
      <w:r>
        <w:rPr>
          <w:rFonts w:eastAsia="Calibri"/>
          <w:sz w:val="28"/>
          <w:szCs w:val="28"/>
        </w:rPr>
        <w:t>individuals and small businesses disposing of electronic devices who need a simple way to request pickups and track their environmental contribution.</w:t>
      </w:r>
    </w:p>
    <w:p w14:paraId="1DB9047B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Collection </w:t>
      </w:r>
      <w:r>
        <w:rPr>
          <w:rFonts w:eastAsia="Calibri"/>
          <w:b/>
          <w:bCs/>
          <w:sz w:val="28"/>
          <w:szCs w:val="28"/>
        </w:rPr>
        <w:t>Centers</w:t>
      </w:r>
      <w:r>
        <w:rPr>
          <w:rFonts w:eastAsia="Calibri"/>
          <w:b/>
          <w:bCs/>
          <w:sz w:val="28"/>
          <w:szCs w:val="28"/>
        </w:rPr>
        <w:t xml:space="preserve">: </w:t>
      </w:r>
      <w:r>
        <w:rPr>
          <w:rFonts w:eastAsia="Calibri"/>
          <w:sz w:val="28"/>
          <w:szCs w:val="28"/>
        </w:rPr>
        <w:t>local drop-off/pickup points that receive waste from consumers and forward it to recyclers.</w:t>
      </w:r>
    </w:p>
    <w:p w14:paraId="5DEDA3DF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Recycling Facilities: </w:t>
      </w:r>
      <w:r>
        <w:rPr>
          <w:rFonts w:eastAsia="Calibri"/>
          <w:sz w:val="28"/>
          <w:szCs w:val="28"/>
        </w:rPr>
        <w:t>partner organizations that process, dismantle, and recover materials from collected e-waste.</w:t>
      </w:r>
    </w:p>
    <w:p w14:paraId="00B47CE7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Government / Regulatory Bodies: </w:t>
      </w:r>
      <w:r>
        <w:rPr>
          <w:rFonts w:eastAsia="Calibri"/>
          <w:sz w:val="28"/>
          <w:szCs w:val="28"/>
        </w:rPr>
        <w:t>agencies that monitor compliance with e-waste disposal regulations and consume sustainability reports.</w:t>
      </w:r>
    </w:p>
    <w:p w14:paraId="27286A0F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Platform Administrators: </w:t>
      </w:r>
      <w:r>
        <w:rPr>
          <w:rFonts w:eastAsia="Calibri"/>
          <w:sz w:val="28"/>
          <w:szCs w:val="28"/>
        </w:rPr>
        <w:t>operations staff who manage users, monitor system health, and configure business rules.</w:t>
      </w:r>
    </w:p>
    <w:p w14:paraId="54798782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Logistics/Collection Personnel: </w:t>
      </w:r>
      <w:r>
        <w:rPr>
          <w:rFonts w:eastAsia="Calibri"/>
          <w:sz w:val="28"/>
          <w:szCs w:val="28"/>
        </w:rPr>
        <w:t>field agents who execute optimized pickup routes.</w:t>
      </w:r>
    </w:p>
    <w:p w14:paraId="55506532">
      <w:pPr>
        <w:pStyle w:val="style0"/>
        <w:spacing w:before="240" w:after="120" w:lineRule="auto" w:line="276"/>
        <w:rPr/>
      </w:pPr>
      <w:r>
        <w:rPr>
          <w:rFonts w:eastAsia="Calibri"/>
          <w:b/>
          <w:bCs/>
          <w:color w:val="000000"/>
          <w:sz w:val="30"/>
          <w:szCs w:val="30"/>
        </w:rPr>
        <w:t>1.5 Assumptions and Constraints</w:t>
      </w:r>
    </w:p>
    <w:p w14:paraId="084724F4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 xml:space="preserve">The platform will be deployed on a public cloud provider (AWS/Azure) with regional data </w:t>
      </w:r>
      <w:r>
        <w:rPr>
          <w:rFonts w:eastAsia="Calibri"/>
          <w:sz w:val="28"/>
          <w:szCs w:val="28"/>
        </w:rPr>
        <w:t>centers</w:t>
      </w:r>
      <w:r>
        <w:rPr>
          <w:rFonts w:eastAsia="Calibri"/>
          <w:sz w:val="28"/>
          <w:szCs w:val="28"/>
        </w:rPr>
        <w:t xml:space="preserve"> to serve multiple cities.</w:t>
      </w:r>
    </w:p>
    <w:p w14:paraId="2C616CCC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 xml:space="preserve">Partner recycling facilities and collection </w:t>
      </w:r>
      <w:r>
        <w:rPr>
          <w:rFonts w:eastAsia="Calibri"/>
          <w:sz w:val="28"/>
          <w:szCs w:val="28"/>
        </w:rPr>
        <w:t>centers</w:t>
      </w:r>
      <w:r>
        <w:rPr>
          <w:rFonts w:eastAsia="Calibri"/>
          <w:sz w:val="28"/>
          <w:szCs w:val="28"/>
        </w:rPr>
        <w:t xml:space="preserve"> have internet-connected devices to update status in real time.</w:t>
      </w:r>
    </w:p>
    <w:p w14:paraId="3097A4E1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IoT smart-bin sensors are assumed to communicate over standard protocols (MQTT/HTTP) supported by the Recycling Monitoring Service.</w:t>
      </w:r>
    </w:p>
    <w:p w14:paraId="449D0C40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The AI classification model is trained and hosted separately, and is consumed as a service by the platform.</w:t>
      </w:r>
    </w:p>
    <w:p w14:paraId="57EBDC26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The system must comply with regional data-protection and e-waste handling regulations (e.g., GDPR-equivalent data privacy norms and local environmental laws).</w:t>
      </w:r>
    </w:p>
    <w:p w14:paraId="0E698309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Network connectivity in some collection areas may be intermittent, so mobile/edge components should tolerate short offline periods and sync later.</w:t>
      </w:r>
    </w:p>
    <w:p w14:paraId="00D4B2F6">
      <w:pPr>
        <w:pStyle w:val="style0"/>
        <w:spacing w:before="400" w:after="200" w:lineRule="auto" w:line="276"/>
        <w:rPr/>
      </w:pPr>
      <w:r>
        <w:rPr>
          <w:rFonts w:eastAsia="Calibri"/>
          <w:b/>
          <w:bCs/>
          <w:color w:val="000000"/>
          <w:sz w:val="36"/>
          <w:szCs w:val="36"/>
        </w:rPr>
        <w:t>2. Selection of Suitable Software Architecture</w:t>
      </w:r>
    </w:p>
    <w:p w14:paraId="7AE22DCD">
      <w:pPr>
        <w:pStyle w:val="style0"/>
        <w:spacing w:after="160" w:lineRule="auto" w:line="276"/>
        <w:jc w:val="both"/>
        <w:rPr/>
      </w:pPr>
      <w:r>
        <w:rPr>
          <w:rFonts w:eastAsia="Calibri"/>
          <w:sz w:val="28"/>
          <w:szCs w:val="28"/>
        </w:rPr>
        <w:t>A Hybrid Architecture combining Microservices and Event-Driven Architecture, fronted by an API Gateway, is selected for this platform.</w:t>
      </w:r>
    </w:p>
    <w:p w14:paraId="520418A5">
      <w:pPr>
        <w:pStyle w:val="style0"/>
        <w:spacing w:before="240" w:after="120" w:lineRule="auto" w:line="276"/>
        <w:rPr/>
      </w:pPr>
      <w:r>
        <w:rPr>
          <w:rFonts w:eastAsia="Calibri"/>
          <w:b/>
          <w:bCs/>
          <w:color w:val="000000"/>
          <w:sz w:val="30"/>
          <w:szCs w:val="30"/>
        </w:rPr>
        <w:t>2.1 Justification</w:t>
      </w:r>
    </w:p>
    <w:p w14:paraId="02324B09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Independent, heterogeneous workloads: </w:t>
      </w:r>
      <w:r>
        <w:rPr>
          <w:rFonts w:eastAsia="Calibri"/>
          <w:sz w:val="28"/>
          <w:szCs w:val="28"/>
        </w:rPr>
        <w:t>AI waste classification, route optimization, and reporting have very different scaling and compute needs; microservices let each be scaled, deployed, and upgraded independently.</w:t>
      </w:r>
    </w:p>
    <w:p w14:paraId="5E754A9F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Real-time, asynchronous events: </w:t>
      </w:r>
      <w:r>
        <w:rPr>
          <w:rFonts w:eastAsia="Calibri"/>
          <w:sz w:val="28"/>
          <w:szCs w:val="28"/>
        </w:rPr>
        <w:t>IoT bin-fill alerts, pickup-status changes, and classification results are naturally event-driven; a message broker decouples producers and consumers and improves resilience.</w:t>
      </w:r>
    </w:p>
    <w:p w14:paraId="54BC9200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Multiple heterogeneous clients: </w:t>
      </w:r>
      <w:r>
        <w:rPr>
          <w:rFonts w:eastAsia="Calibri"/>
          <w:sz w:val="28"/>
          <w:szCs w:val="28"/>
        </w:rPr>
        <w:t>consumer apps, collection-</w:t>
      </w:r>
      <w:r>
        <w:rPr>
          <w:rFonts w:eastAsia="Calibri"/>
          <w:sz w:val="28"/>
          <w:szCs w:val="28"/>
        </w:rPr>
        <w:t>center</w:t>
      </w:r>
      <w:r>
        <w:rPr>
          <w:rFonts w:eastAsia="Calibri"/>
          <w:sz w:val="28"/>
          <w:szCs w:val="28"/>
        </w:rPr>
        <w:t xml:space="preserve"> portals, recycler dashboards, and admin/government dashboards all need a single, secure entry point, which the API Gateway provides.</w:t>
      </w:r>
    </w:p>
    <w:p w14:paraId="6139EB7B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Integration with external systems: </w:t>
      </w:r>
      <w:r>
        <w:rPr>
          <w:rFonts w:eastAsia="Calibri"/>
          <w:sz w:val="28"/>
          <w:szCs w:val="28"/>
        </w:rPr>
        <w:t>GIS/Maps, IoT sensors, AI/ML servers, payment, and government compliance APIs integrate cleanly as bounded, service-level integrations rather than being entangled in one monolith.</w:t>
      </w:r>
    </w:p>
    <w:p w14:paraId="060BB397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Growth and future scope: </w:t>
      </w:r>
      <w:r>
        <w:rPr>
          <w:rFonts w:eastAsia="Calibri"/>
          <w:sz w:val="28"/>
          <w:szCs w:val="28"/>
        </w:rPr>
        <w:t>new services (e.g., a blockchain traceability service or a rewards module) can be added without disturbing existing services.</w:t>
      </w:r>
    </w:p>
    <w:p w14:paraId="09F55C89">
      <w:pPr>
        <w:pStyle w:val="style0"/>
        <w:spacing w:after="160" w:lineRule="auto" w:line="276"/>
        <w:jc w:val="both"/>
        <w:rPr/>
      </w:pPr>
      <w:r>
        <w:rPr>
          <w:rFonts w:eastAsia="Calibri"/>
          <w:sz w:val="28"/>
          <w:szCs w:val="28"/>
        </w:rPr>
        <w:t>Pure microservices alone would add unnecessary complexity for simple request/response flows, while a monolith would not scale well for AI workloads or IoT event volume. The hybrid model therefore best balances scalability, flexibility, and maintainability for this problem.</w:t>
      </w:r>
    </w:p>
    <w:p w14:paraId="24EB9B7C">
      <w:pPr>
        <w:pStyle w:val="style0"/>
        <w:spacing w:before="240" w:after="120" w:lineRule="auto" w:line="276"/>
        <w:rPr/>
      </w:pPr>
      <w:r>
        <w:rPr>
          <w:rFonts w:eastAsia="Calibri"/>
          <w:b/>
          <w:bCs/>
          <w:color w:val="000000"/>
          <w:sz w:val="30"/>
          <w:szCs w:val="30"/>
        </w:rPr>
        <w:t>2.2 Comparison with Alternative Architectural Styles</w:t>
      </w:r>
    </w:p>
    <w:p w14:paraId="7DB8A1DC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Layered (N-Tier) Architecture: </w:t>
      </w:r>
      <w:r>
        <w:rPr>
          <w:rFonts w:eastAsia="Calibri"/>
          <w:sz w:val="28"/>
          <w:szCs w:val="28"/>
        </w:rPr>
        <w:t>simple to build and understand, but scaling is typically limited to the whole application layer at once, making it inefficient for AI-heavy or IoT-heavy workloads that need independent scaling.</w:t>
      </w:r>
    </w:p>
    <w:p w14:paraId="2F266F82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Pure Client-Server Architecture: </w:t>
      </w:r>
      <w:r>
        <w:rPr>
          <w:rFonts w:eastAsia="Calibri"/>
          <w:sz w:val="28"/>
          <w:szCs w:val="28"/>
        </w:rPr>
        <w:t>adequate for basic request/response interactions but lacks native support for asynchronous, high-volume IoT events and would create a bottleneck at a single server tier.</w:t>
      </w:r>
    </w:p>
    <w:p w14:paraId="709087FE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Monolithic MVC: </w:t>
      </w:r>
      <w:r>
        <w:rPr>
          <w:rFonts w:eastAsia="Calibri"/>
          <w:sz w:val="28"/>
          <w:szCs w:val="28"/>
        </w:rPr>
        <w:t>faster to build initially, but a bug or scaling need in one module (e.g., AI classification) would require redeploying and scaling the entire application, hurting maintainability and availability.</w:t>
      </w:r>
    </w:p>
    <w:p w14:paraId="73BE1D32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Pure Serverless (FaaS): </w:t>
      </w:r>
      <w:r>
        <w:rPr>
          <w:rFonts w:eastAsia="Calibri"/>
          <w:sz w:val="28"/>
          <w:szCs w:val="28"/>
        </w:rPr>
        <w:t>excellent for unpredictable, bursty workloads such as classification requests, but state-heavy flows like multi-step pickup scheduling and long-running route computations are harder to manage cleanly; used here only for select functions rather than the whole system.</w:t>
      </w:r>
    </w:p>
    <w:p w14:paraId="5F73062A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Pure Event-Driven Architecture: </w:t>
      </w:r>
      <w:r>
        <w:rPr>
          <w:rFonts w:eastAsia="Calibri"/>
          <w:sz w:val="28"/>
          <w:szCs w:val="28"/>
        </w:rPr>
        <w:t>well</w:t>
      </w:r>
      <w:r>
        <w:rPr>
          <w:rFonts w:eastAsia="Calibri"/>
          <w:sz w:val="28"/>
          <w:szCs w:val="28"/>
        </w:rPr>
        <w:t xml:space="preserve"> suited to the IoT/status-update use cases but insufficient alone for the synchronous, low-latency request/response needs of user-facing scheduling and dashboards.</w:t>
      </w:r>
    </w:p>
    <w:p w14:paraId="5AC074F7">
      <w:pPr>
        <w:pStyle w:val="style0"/>
        <w:spacing w:after="160" w:lineRule="auto" w:line="276"/>
        <w:jc w:val="both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 xml:space="preserve">The selected hybrid approach deliberately borrows the strengths of microservices (independent scalability and maintainability) and event-driven design (asynchronous, resilient communication for IoT and status data), while the API Gateway preserves a </w:t>
      </w:r>
      <w:r>
        <w:rPr>
          <w:rFonts w:eastAsia="Calibri"/>
          <w:sz w:val="28"/>
          <w:szCs w:val="28"/>
        </w:rPr>
        <w:t>simple, unified interface for clients — addressing the shortcomings of each individual style listed above.</w:t>
      </w:r>
    </w:p>
    <w:p w14:paraId="26E55D32">
      <w:pPr>
        <w:pStyle w:val="style0"/>
        <w:spacing w:before="400" w:after="200" w:lineRule="auto" w:line="276"/>
        <w:rPr>
          <w:rFonts w:eastAsia="Calibri"/>
          <w:b/>
          <w:bCs/>
          <w:color w:val="000000"/>
          <w:sz w:val="36"/>
          <w:szCs w:val="36"/>
        </w:rPr>
      </w:pPr>
    </w:p>
    <w:p w14:paraId="3942D4E8">
      <w:pPr>
        <w:pStyle w:val="style0"/>
        <w:spacing w:before="400" w:after="200" w:lineRule="auto" w:line="276"/>
        <w:rPr>
          <w:rFonts w:eastAsia="Calibri"/>
          <w:b/>
          <w:bCs/>
          <w:color w:val="000000"/>
          <w:sz w:val="36"/>
          <w:szCs w:val="36"/>
        </w:rPr>
      </w:pPr>
    </w:p>
    <w:p w14:paraId="041EF8D4">
      <w:pPr>
        <w:pStyle w:val="style0"/>
        <w:spacing w:before="400" w:after="200" w:lineRule="auto" w:line="276"/>
        <w:rPr>
          <w:rFonts w:eastAsia="Calibri"/>
          <w:b/>
          <w:bCs/>
          <w:color w:val="000000"/>
          <w:sz w:val="36"/>
          <w:szCs w:val="36"/>
        </w:rPr>
      </w:pPr>
    </w:p>
    <w:p w14:paraId="2453FD4D">
      <w:pPr>
        <w:pStyle w:val="style0"/>
        <w:spacing w:before="400" w:after="200" w:lineRule="auto" w:line="276"/>
        <w:rPr/>
      </w:pPr>
      <w:r>
        <w:rPr>
          <w:rFonts w:eastAsia="Calibri"/>
          <w:b/>
          <w:bCs/>
          <w:color w:val="000000"/>
          <w:sz w:val="36"/>
          <w:szCs w:val="36"/>
        </w:rPr>
        <w:t>3. Software Architecture Diagram</w:t>
      </w:r>
    </w:p>
    <w:p w14:paraId="45293715">
      <w:pPr>
        <w:pStyle w:val="style0"/>
        <w:spacing w:after="120" w:lineRule="auto" w:line="276"/>
        <w:jc w:val="center"/>
        <w:rPr/>
      </w:pPr>
      <w:r>
        <w:rPr>
          <w:noProof/>
        </w:rPr>
        <w:drawing>
          <wp:inline distL="0" distT="0" distB="0" distR="0">
            <wp:extent cx="6000750" cy="2914650"/>
            <wp:effectExtent l="0" t="0" r="0" b="0"/>
            <wp:docPr id="1026" name="Picture 1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/>
                  </pic:nvPicPr>
                  <pic:blipFill>
                    <a:blip r:embed="rId2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00750" cy="2914650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5932FEBD">
      <w:pPr>
        <w:pStyle w:val="style0"/>
        <w:spacing w:after="200" w:lineRule="auto" w:line="276"/>
        <w:jc w:val="center"/>
        <w:rPr/>
      </w:pPr>
      <w:r>
        <w:rPr>
          <w:rFonts w:eastAsia="Calibri"/>
          <w:i/>
          <w:iCs/>
          <w:color w:val="555555"/>
          <w:sz w:val="22"/>
          <w:szCs w:val="22"/>
        </w:rPr>
        <w:t>Figure 1: Hybrid Microservices + Event-Driven Architecture for the AI-Based E-Waste Platform</w:t>
      </w:r>
    </w:p>
    <w:p w14:paraId="7F7EC7A3">
      <w:pPr>
        <w:pStyle w:val="style0"/>
        <w:spacing w:before="400" w:after="200" w:lineRule="auto" w:line="276"/>
        <w:rPr>
          <w:rFonts w:eastAsia="Calibri"/>
          <w:b/>
          <w:bCs/>
          <w:color w:val="000000"/>
          <w:sz w:val="36"/>
          <w:szCs w:val="36"/>
        </w:rPr>
      </w:pPr>
    </w:p>
    <w:p w14:paraId="146377E6">
      <w:pPr>
        <w:pStyle w:val="style0"/>
        <w:spacing w:before="400" w:after="200" w:lineRule="auto" w:line="276"/>
        <w:rPr/>
      </w:pPr>
      <w:r>
        <w:rPr>
          <w:rFonts w:eastAsia="Calibri"/>
          <w:b/>
          <w:bCs/>
          <w:color w:val="000000"/>
          <w:sz w:val="36"/>
          <w:szCs w:val="36"/>
        </w:rPr>
        <w:t>4. Technology Stack</w:t>
      </w:r>
    </w:p>
    <w:p w14:paraId="46FB60DC">
      <w:pPr>
        <w:pStyle w:val="style0"/>
        <w:spacing w:after="160" w:lineRule="auto" w:line="276"/>
        <w:jc w:val="both"/>
        <w:rPr/>
      </w:pPr>
      <w:r>
        <w:rPr>
          <w:rFonts w:eastAsia="Calibri"/>
          <w:sz w:val="28"/>
          <w:szCs w:val="28"/>
        </w:rPr>
        <w:t>The following technologies are recommended for implementing each architectural layer, chosen for their maturity, cloud-native support, and fit with the selected architectural style.</w:t>
      </w:r>
    </w:p>
    <w:p w14:paraId="34BFBB81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Client Layer: </w:t>
      </w:r>
      <w:r>
        <w:rPr>
          <w:rFonts w:eastAsia="Calibri"/>
          <w:sz w:val="28"/>
          <w:szCs w:val="28"/>
        </w:rPr>
        <w:t xml:space="preserve">React.js / React Native for web and mobile clients, providing a responsive experience for consumers, collection </w:t>
      </w:r>
      <w:r>
        <w:rPr>
          <w:rFonts w:eastAsia="Calibri"/>
          <w:sz w:val="28"/>
          <w:szCs w:val="28"/>
        </w:rPr>
        <w:t>centers</w:t>
      </w:r>
      <w:r>
        <w:rPr>
          <w:rFonts w:eastAsia="Calibri"/>
          <w:sz w:val="28"/>
          <w:szCs w:val="28"/>
        </w:rPr>
        <w:t>, recyclers, and administrators.</w:t>
      </w:r>
    </w:p>
    <w:p w14:paraId="3A8906B3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API Gateway: </w:t>
      </w:r>
      <w:r>
        <w:rPr>
          <w:rFonts w:eastAsia="Calibri"/>
          <w:sz w:val="28"/>
          <w:szCs w:val="28"/>
        </w:rPr>
        <w:t>Kong or AWS API Gateway for routing, authentication (OAuth2/JWT), rate limiting, and request throttling.</w:t>
      </w:r>
    </w:p>
    <w:p w14:paraId="35D2DBC4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Microservices: </w:t>
      </w:r>
      <w:r>
        <w:rPr>
          <w:rFonts w:eastAsia="Calibri"/>
          <w:sz w:val="28"/>
          <w:szCs w:val="28"/>
        </w:rPr>
        <w:t>Spring Boot (Java) or Node.js/Express services, each independently deployable in Docker containers.</w:t>
      </w:r>
    </w:p>
    <w:p w14:paraId="7545C6C4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AI/ML Classification: </w:t>
      </w:r>
      <w:r>
        <w:rPr>
          <w:rFonts w:eastAsia="Calibri"/>
          <w:sz w:val="28"/>
          <w:szCs w:val="28"/>
        </w:rPr>
        <w:t xml:space="preserve">Python-based model server (TensorFlow Serving / </w:t>
      </w:r>
      <w:r>
        <w:rPr>
          <w:rFonts w:eastAsia="Calibri"/>
          <w:sz w:val="28"/>
          <w:szCs w:val="28"/>
        </w:rPr>
        <w:t>FastAPI</w:t>
      </w:r>
      <w:r>
        <w:rPr>
          <w:rFonts w:eastAsia="Calibri"/>
          <w:sz w:val="28"/>
          <w:szCs w:val="28"/>
        </w:rPr>
        <w:t>) exposing a REST/</w:t>
      </w:r>
      <w:r>
        <w:rPr>
          <w:rFonts w:eastAsia="Calibri"/>
          <w:sz w:val="28"/>
          <w:szCs w:val="28"/>
        </w:rPr>
        <w:t>gRPC</w:t>
      </w:r>
      <w:r>
        <w:rPr>
          <w:rFonts w:eastAsia="Calibri"/>
          <w:sz w:val="28"/>
          <w:szCs w:val="28"/>
        </w:rPr>
        <w:t xml:space="preserve"> endpoint consumed by the AI Waste Classification Service.</w:t>
      </w:r>
    </w:p>
    <w:p w14:paraId="10E741DF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Event Message Broker: </w:t>
      </w:r>
      <w:r>
        <w:rPr>
          <w:rFonts w:eastAsia="Calibri"/>
          <w:sz w:val="28"/>
          <w:szCs w:val="28"/>
        </w:rPr>
        <w:t>Apache Kafka or RabbitMQ for durable, high-throughput asynchronous messaging between services.</w:t>
      </w:r>
    </w:p>
    <w:p w14:paraId="12D6B473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Databases: </w:t>
      </w:r>
      <w:r>
        <w:rPr>
          <w:rFonts w:eastAsia="Calibri"/>
          <w:sz w:val="28"/>
          <w:szCs w:val="28"/>
        </w:rPr>
        <w:t>PostgreSQL/MySQL for transactional data (users, scheduling), MongoDB for semi-structured classification/ML metadata, and a data warehouse such as Amazon Redshift or Snowflake for analytics.</w:t>
      </w:r>
    </w:p>
    <w:p w14:paraId="51D5483D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Cache: </w:t>
      </w:r>
      <w:r>
        <w:rPr>
          <w:rFonts w:eastAsia="Calibri"/>
          <w:sz w:val="28"/>
          <w:szCs w:val="28"/>
        </w:rPr>
        <w:t>Redis for low-latency lookups such as route data and session tokens.</w:t>
      </w:r>
    </w:p>
    <w:p w14:paraId="7E41294B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External Integrations: </w:t>
      </w:r>
      <w:r>
        <w:rPr>
          <w:rFonts w:eastAsia="Calibri"/>
          <w:sz w:val="28"/>
          <w:szCs w:val="28"/>
        </w:rPr>
        <w:t>Google Maps/GIS API for routing, MQTT-based IoT gateway for bin sensors, and a third-party payment gateway (</w:t>
      </w:r>
      <w:r>
        <w:rPr>
          <w:rFonts w:eastAsia="Calibri"/>
          <w:sz w:val="28"/>
          <w:szCs w:val="28"/>
        </w:rPr>
        <w:t>Razorpay</w:t>
      </w:r>
      <w:r>
        <w:rPr>
          <w:rFonts w:eastAsia="Calibri"/>
          <w:sz w:val="28"/>
          <w:szCs w:val="28"/>
        </w:rPr>
        <w:t>/Stripe) for paid pickup services where applicable.</w:t>
      </w:r>
    </w:p>
    <w:p w14:paraId="24DA19FC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Cloud &amp; DevOps: </w:t>
      </w:r>
      <w:r>
        <w:rPr>
          <w:rFonts w:eastAsia="Calibri"/>
          <w:sz w:val="28"/>
          <w:szCs w:val="28"/>
        </w:rPr>
        <w:t>Kubernetes for container orchestration, Docker for packaging, and CI/CD pipelines (Jenkins/GitHub Actions) for automated build, test, and deployment.</w:t>
      </w:r>
    </w:p>
    <w:p w14:paraId="5E239636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Monitoring: </w:t>
      </w:r>
      <w:r>
        <w:rPr>
          <w:rFonts w:eastAsia="Calibri"/>
          <w:sz w:val="28"/>
          <w:szCs w:val="28"/>
        </w:rPr>
        <w:t>Prometheus and Grafana for metrics, and the ELK stack (Elasticsearch, Logstash, Kibana) for centralized logging.</w:t>
      </w:r>
    </w:p>
    <w:p w14:paraId="16468244">
      <w:pPr>
        <w:pStyle w:val="style0"/>
        <w:spacing w:before="400" w:after="200" w:lineRule="auto" w:line="276"/>
        <w:rPr/>
      </w:pPr>
      <w:r>
        <w:rPr>
          <w:rFonts w:eastAsia="Calibri"/>
          <w:b/>
          <w:bCs/>
          <w:color w:val="000000"/>
          <w:sz w:val="36"/>
          <w:szCs w:val="36"/>
        </w:rPr>
        <w:t>5. Components and Their Interactions</w:t>
      </w:r>
    </w:p>
    <w:p w14:paraId="2A002CB7">
      <w:pPr>
        <w:pStyle w:val="style0"/>
        <w:spacing w:before="240" w:after="120" w:lineRule="auto" w:line="276"/>
        <w:rPr/>
      </w:pPr>
      <w:r>
        <w:rPr>
          <w:rFonts w:eastAsia="Calibri"/>
          <w:b/>
          <w:bCs/>
          <w:color w:val="000000"/>
          <w:sz w:val="30"/>
          <w:szCs w:val="30"/>
        </w:rPr>
        <w:t>5.1 Component Responsibilities</w:t>
      </w:r>
    </w:p>
    <w:p w14:paraId="63C0434B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Client Layer: </w:t>
      </w:r>
      <w:r>
        <w:rPr>
          <w:rFonts w:eastAsia="Calibri"/>
          <w:sz w:val="28"/>
          <w:szCs w:val="28"/>
        </w:rPr>
        <w:t>consumer mobile/web app, collection-</w:t>
      </w:r>
      <w:r>
        <w:rPr>
          <w:rFonts w:eastAsia="Calibri"/>
          <w:sz w:val="28"/>
          <w:szCs w:val="28"/>
        </w:rPr>
        <w:t>center</w:t>
      </w:r>
      <w:r>
        <w:rPr>
          <w:rFonts w:eastAsia="Calibri"/>
          <w:sz w:val="28"/>
          <w:szCs w:val="28"/>
        </w:rPr>
        <w:t xml:space="preserve"> portal, recycling-facility dashboard, and admin/government dashboard — the entry points for all user roles.</w:t>
      </w:r>
    </w:p>
    <w:p w14:paraId="61E273C7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API Gateway: </w:t>
      </w:r>
      <w:r>
        <w:rPr>
          <w:rFonts w:eastAsia="Calibri"/>
          <w:sz w:val="28"/>
          <w:szCs w:val="28"/>
        </w:rPr>
        <w:t>single entry point that handles authentication, request routing, load balancing, and rate limiting before forwarding requests to the correct microservice.</w:t>
      </w:r>
    </w:p>
    <w:p w14:paraId="478089D6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User &amp; Access Management Service: </w:t>
      </w:r>
      <w:r>
        <w:rPr>
          <w:rFonts w:eastAsia="Calibri"/>
          <w:sz w:val="28"/>
          <w:szCs w:val="28"/>
        </w:rPr>
        <w:t>handles registration, login, roles (consumer, collector, recycler, admin), and profile data.</w:t>
      </w:r>
    </w:p>
    <w:p w14:paraId="2934A9D7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Pickup Scheduling Service: </w:t>
      </w:r>
      <w:r>
        <w:rPr>
          <w:rFonts w:eastAsia="Calibri"/>
          <w:sz w:val="28"/>
          <w:szCs w:val="28"/>
        </w:rPr>
        <w:t>manages pickup requests, scheduling, rescheduling, and payment coordination.</w:t>
      </w:r>
    </w:p>
    <w:p w14:paraId="64646170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AI Waste Classification Service: </w:t>
      </w:r>
      <w:r>
        <w:rPr>
          <w:rFonts w:eastAsia="Calibri"/>
          <w:sz w:val="28"/>
          <w:szCs w:val="28"/>
        </w:rPr>
        <w:t>invokes the AI/ML model server to classify waste type, hazard level, and recoverable material from images/descriptions.</w:t>
      </w:r>
    </w:p>
    <w:p w14:paraId="79FAF8B3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Route Optimization Service: </w:t>
      </w:r>
      <w:r>
        <w:rPr>
          <w:rFonts w:eastAsia="Calibri"/>
          <w:sz w:val="28"/>
          <w:szCs w:val="28"/>
        </w:rPr>
        <w:t>computes optimal collection routes using GIS/Maps data and current pickup demand.</w:t>
      </w:r>
    </w:p>
    <w:p w14:paraId="2C23E443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Recycling Monitoring Service: </w:t>
      </w:r>
      <w:r>
        <w:rPr>
          <w:rFonts w:eastAsia="Calibri"/>
          <w:sz w:val="28"/>
          <w:szCs w:val="28"/>
        </w:rPr>
        <w:t>tracks the status of waste as it moves through partner recycling facilities, fed by IoT bin sensors.</w:t>
      </w:r>
    </w:p>
    <w:p w14:paraId="77F8B448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Sustainability Reporting &amp; Analytics Service: </w:t>
      </w:r>
      <w:r>
        <w:rPr>
          <w:rFonts w:eastAsia="Calibri"/>
          <w:sz w:val="28"/>
          <w:szCs w:val="28"/>
        </w:rPr>
        <w:t>aggregates data from the warehouse to generate environmental-impact and compliance reports.</w:t>
      </w:r>
    </w:p>
    <w:p w14:paraId="1B29151C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Notification Service: </w:t>
      </w:r>
      <w:r>
        <w:rPr>
          <w:rFonts w:eastAsia="Calibri"/>
          <w:sz w:val="28"/>
          <w:szCs w:val="28"/>
        </w:rPr>
        <w:t>sends status updates, reminders, and alerts to all user roles.</w:t>
      </w:r>
    </w:p>
    <w:p w14:paraId="121B9CD4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Event Message Broker: </w:t>
      </w:r>
      <w:r>
        <w:rPr>
          <w:rFonts w:eastAsia="Calibri"/>
          <w:sz w:val="28"/>
          <w:szCs w:val="28"/>
        </w:rPr>
        <w:t>carries asynchronous events (e.g., "pickup scheduled", "bin full", "item classified") between services, decoupling producers from consumers.</w:t>
      </w:r>
    </w:p>
    <w:p w14:paraId="485C39B2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Data Layer: </w:t>
      </w:r>
      <w:r>
        <w:rPr>
          <w:rFonts w:eastAsia="Calibri"/>
          <w:sz w:val="28"/>
          <w:szCs w:val="28"/>
        </w:rPr>
        <w:t>each service owns its data — relational stores for scheduling/user data, a specialized store for classification/ML data, an analytics warehouse for reporting, and a Redis cache for frequently accessed data.</w:t>
      </w:r>
    </w:p>
    <w:p w14:paraId="151E42D9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External Systems: </w:t>
      </w:r>
      <w:r>
        <w:rPr>
          <w:rFonts w:eastAsia="Calibri"/>
          <w:sz w:val="28"/>
          <w:szCs w:val="28"/>
        </w:rPr>
        <w:t>GIS/Maps API, IoT bin sensors, the AI/ML model server, the payment gateway, and the government compliance API — integrated at the service level, not embedded in the core system.</w:t>
      </w:r>
    </w:p>
    <w:p w14:paraId="44F748DC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Cloud Infrastructure: </w:t>
      </w:r>
      <w:r>
        <w:rPr>
          <w:rFonts w:eastAsia="Calibri"/>
          <w:sz w:val="28"/>
          <w:szCs w:val="28"/>
        </w:rPr>
        <w:t>hosts all services and data stores in containers with auto-scaling and load balancing across the platform.</w:t>
      </w:r>
    </w:p>
    <w:p w14:paraId="5DB30B71">
      <w:pPr>
        <w:pStyle w:val="style0"/>
        <w:spacing w:before="240" w:after="120" w:lineRule="auto" w:line="276"/>
        <w:rPr/>
      </w:pPr>
      <w:r>
        <w:rPr>
          <w:rFonts w:eastAsia="Calibri"/>
          <w:b/>
          <w:bCs/>
          <w:color w:val="000000"/>
          <w:sz w:val="30"/>
          <w:szCs w:val="30"/>
        </w:rPr>
        <w:t>5.2 Overall Workflow</w:t>
      </w:r>
    </w:p>
    <w:p w14:paraId="38CAE0FE">
      <w:pPr>
        <w:pStyle w:val="style0"/>
        <w:spacing w:after="160" w:lineRule="auto" w:line="276"/>
        <w:jc w:val="both"/>
        <w:rPr/>
      </w:pPr>
      <w:r>
        <w:rPr>
          <w:rFonts w:eastAsia="Calibri"/>
          <w:sz w:val="28"/>
          <w:szCs w:val="28"/>
        </w:rPr>
        <w:t xml:space="preserve">A consumer schedules a pickup through the client app; the request passes through the API Gateway to the Pickup Scheduling Service, which persists the request and publishes a "pickup scheduled" event on the message broker. The Route Optimization Service consumes this event, calls the GIS/Maps API, and returns an optimized route to </w:t>
      </w:r>
      <w:r>
        <w:rPr>
          <w:rFonts w:eastAsia="Calibri"/>
          <w:sz w:val="28"/>
          <w:szCs w:val="28"/>
        </w:rPr>
        <w:t>the collection team. When waste is collected, the AI Waste Classification Service processes item images via the AI/ML model server and publishes classification results. The Recycling Monitoring Service tracks the item through the partner facility, using IoT bin-sensor events to trigger further pickups automatically. Throughout this flow, the Notification Service listens for relevant events and informs consumers, collectors, and recyclers. Periodically, the Sustainability Reporting &amp; Analytics Service aggregates completed transactions into environmental-impact and compliance reports for the Admin/Government Dashboard.</w:t>
      </w:r>
    </w:p>
    <w:p w14:paraId="5A263C2D">
      <w:pPr>
        <w:pStyle w:val="style0"/>
        <w:spacing w:before="400" w:after="200" w:lineRule="auto" w:line="276"/>
        <w:rPr/>
      </w:pPr>
      <w:r>
        <w:rPr>
          <w:rFonts w:eastAsia="Calibri"/>
          <w:b/>
          <w:bCs/>
          <w:color w:val="000000"/>
          <w:sz w:val="36"/>
          <w:szCs w:val="36"/>
        </w:rPr>
        <w:t>6. Data Flow Across the System (Sequence Diagram)</w:t>
      </w:r>
    </w:p>
    <w:p w14:paraId="07DF6444">
      <w:pPr>
        <w:pStyle w:val="style0"/>
        <w:spacing w:after="160" w:lineRule="auto" w:line="276"/>
        <w:jc w:val="both"/>
        <w:rPr/>
      </w:pPr>
      <w:r>
        <w:rPr>
          <w:rFonts w:eastAsia="Calibri"/>
          <w:sz w:val="28"/>
          <w:szCs w:val="28"/>
        </w:rPr>
        <w:t>The sequence diagram below traces a single pickup request end-to-end, showing how synchronous calls (solid arrows) and asynchronous events (dashed arrows) work together across services.</w:t>
      </w:r>
    </w:p>
    <w:p w14:paraId="201636FB">
      <w:pPr>
        <w:pStyle w:val="style0"/>
        <w:spacing w:after="120" w:lineRule="auto" w:line="276"/>
        <w:jc w:val="center"/>
        <w:rPr/>
      </w:pPr>
      <w:r>
        <w:rPr>
          <w:noProof/>
        </w:rPr>
        <w:drawing>
          <wp:inline distL="0" distT="0" distB="0" distR="0">
            <wp:extent cx="6000750" cy="2409825"/>
            <wp:effectExtent l="0" t="0" r="0" b="0"/>
            <wp:docPr id="1027" name="Picture 209411055"/>
            <wp:cNvGraphicFramePr>
              <a:graphicFrameLocks xmlns:a="http://schemas.openxmlformats.org/drawingml/2006/main" noChangeAspect="false" noSelect="false" noResize="false" noGrp="false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209411055"/>
                    <pic:cNvPicPr/>
                  </pic:nvPicPr>
                  <pic:blipFill>
                    <a:blip r:embed="rId3" cstate="print"/>
                    <a:srcRect l="0" t="0" r="0" b="0"/>
                    <a:stretch/>
                  </pic:blipFill>
                  <pic:spPr>
                    <a:xfrm rot="0">
                      <a:off x="0" y="0"/>
                      <a:ext cx="6000750" cy="2409825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0F481075">
      <w:pPr>
        <w:pStyle w:val="style0"/>
        <w:spacing w:after="200" w:lineRule="auto" w:line="276"/>
        <w:jc w:val="center"/>
        <w:rPr/>
      </w:pPr>
      <w:r>
        <w:rPr>
          <w:rFonts w:eastAsia="Calibri"/>
          <w:i/>
          <w:iCs/>
          <w:color w:val="555555"/>
          <w:sz w:val="22"/>
          <w:szCs w:val="22"/>
        </w:rPr>
        <w:t>Figure 2: Sequence Diagram — Pickup Request to Sustainability Reporting</w:t>
      </w:r>
    </w:p>
    <w:p w14:paraId="5AAC00BD">
      <w:pPr>
        <w:pStyle w:val="style0"/>
        <w:spacing w:after="160" w:lineRule="auto" w:line="276"/>
        <w:jc w:val="both"/>
        <w:rPr/>
      </w:pPr>
      <w:r>
        <w:rPr>
          <w:rFonts w:eastAsia="Calibri"/>
          <w:sz w:val="28"/>
          <w:szCs w:val="28"/>
        </w:rPr>
        <w:t>This flow illustrates the key architectural benefit of the design: the consumer receives a fast, synchronous acknowledgement (pickup confirmation) while heavier downstream work — route computation, AI classification, and recycling monitoring — proceeds asynchronously via the event broker without blocking the user-facing request.</w:t>
      </w:r>
    </w:p>
    <w:p w14:paraId="13A54142">
      <w:pPr>
        <w:pStyle w:val="style0"/>
        <w:spacing w:before="400" w:after="200" w:lineRule="auto" w:line="276"/>
        <w:rPr/>
      </w:pPr>
      <w:r>
        <w:rPr>
          <w:rFonts w:eastAsia="Calibri"/>
          <w:b/>
          <w:bCs/>
          <w:color w:val="000000"/>
          <w:sz w:val="36"/>
          <w:szCs w:val="36"/>
        </w:rPr>
        <w:t>7. Discussion of Quality Attributes</w:t>
      </w:r>
    </w:p>
    <w:p w14:paraId="45C53859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Scalability: </w:t>
      </w:r>
      <w:r>
        <w:rPr>
          <w:rFonts w:eastAsia="Calibri"/>
          <w:sz w:val="28"/>
          <w:szCs w:val="28"/>
        </w:rPr>
        <w:t>each microservice scales independently on the cloud platform (e.g., the AI Classification Service can scale up during peak image-processing load) without over-provisioning the rest of the system.</w:t>
      </w:r>
    </w:p>
    <w:p w14:paraId="3A0F9117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Security: </w:t>
      </w:r>
      <w:r>
        <w:rPr>
          <w:rFonts w:eastAsia="Calibri"/>
          <w:sz w:val="28"/>
          <w:szCs w:val="28"/>
        </w:rPr>
        <w:t>the API Gateway centralizes authentication/authorization (OAuth2/JWT), and all external and inter-service traffic is encrypted (TLS); role-based access control restricts each dashboard to its permitted data.</w:t>
      </w:r>
    </w:p>
    <w:p w14:paraId="023DE245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Performance: </w:t>
      </w:r>
      <w:r>
        <w:rPr>
          <w:rFonts w:eastAsia="Calibri"/>
          <w:sz w:val="28"/>
          <w:szCs w:val="28"/>
        </w:rPr>
        <w:t>the event-driven bus enables asynchronous processing of non-urgent tasks (reporting, notifications), while Redis caching accelerates frequently requested data such as route lookups, keeping user-facing responses fast.</w:t>
      </w:r>
    </w:p>
    <w:p w14:paraId="1B1E2C6A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Reliability: </w:t>
      </w:r>
      <w:r>
        <w:rPr>
          <w:rFonts w:eastAsia="Calibri"/>
          <w:sz w:val="28"/>
          <w:szCs w:val="28"/>
        </w:rPr>
        <w:t>the message broker persists events and supports retries, so a temporary failure in one service (e.g., Route Optimization) does not lose pickup requests; services can recover and reprocess queued events.</w:t>
      </w:r>
    </w:p>
    <w:p w14:paraId="6F9A8C97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Maintainability: </w:t>
      </w:r>
      <w:r>
        <w:rPr>
          <w:rFonts w:eastAsia="Calibri"/>
          <w:sz w:val="28"/>
          <w:szCs w:val="28"/>
        </w:rPr>
        <w:t>because each service has a single responsibility and its own codebase/data store, teams can update, test, and redeploy the AI model or reporting logic independently without touching unrelated services.</w:t>
      </w:r>
    </w:p>
    <w:p w14:paraId="17106289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Availability: </w:t>
      </w:r>
      <w:r>
        <w:rPr>
          <w:rFonts w:eastAsia="Calibri"/>
          <w:sz w:val="28"/>
          <w:szCs w:val="28"/>
        </w:rPr>
        <w:t>containerized services behind a load balancer with auto-scaling and health checks ensure the platform remains available even if individual service instances fail or traffic spikes occur.</w:t>
      </w:r>
    </w:p>
    <w:p w14:paraId="6AA0E7FA">
      <w:pPr>
        <w:pStyle w:val="style0"/>
        <w:spacing w:before="400" w:after="200" w:lineRule="auto" w:line="276"/>
        <w:rPr/>
      </w:pPr>
      <w:r>
        <w:rPr>
          <w:rFonts w:eastAsia="Calibri"/>
          <w:b/>
          <w:bCs/>
          <w:color w:val="000000"/>
          <w:sz w:val="36"/>
          <w:szCs w:val="36"/>
        </w:rPr>
        <w:t>8. Security Architecture</w:t>
      </w:r>
    </w:p>
    <w:p w14:paraId="39F0433A">
      <w:pPr>
        <w:pStyle w:val="style0"/>
        <w:spacing w:after="160" w:lineRule="auto" w:line="276"/>
        <w:jc w:val="both"/>
        <w:rPr/>
      </w:pPr>
      <w:r>
        <w:rPr>
          <w:rFonts w:eastAsia="Calibri"/>
          <w:sz w:val="28"/>
          <w:szCs w:val="28"/>
        </w:rPr>
        <w:t xml:space="preserve">Security is enforced at multiple layers rather than relying on a single control, following </w:t>
      </w:r>
      <w:r>
        <w:rPr>
          <w:rFonts w:eastAsia="Calibri"/>
          <w:sz w:val="28"/>
          <w:szCs w:val="28"/>
        </w:rPr>
        <w:t>defense</w:t>
      </w:r>
      <w:r>
        <w:rPr>
          <w:rFonts w:eastAsia="Calibri"/>
          <w:sz w:val="28"/>
          <w:szCs w:val="28"/>
        </w:rPr>
        <w:t>-in-depth principles appropriate for a platform handling personal and regulatory data.</w:t>
      </w:r>
    </w:p>
    <w:p w14:paraId="514FE701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Perimeter Security: </w:t>
      </w:r>
      <w:r>
        <w:rPr>
          <w:rFonts w:eastAsia="Calibri"/>
          <w:sz w:val="28"/>
          <w:szCs w:val="28"/>
        </w:rPr>
        <w:t>the API Gateway is the sole public entry point; internal microservices are not directly reachable from the internet and are placed in a private network/VPC.</w:t>
      </w:r>
    </w:p>
    <w:p w14:paraId="015DF087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Authentication &amp; Authorization: </w:t>
      </w:r>
      <w:r>
        <w:rPr>
          <w:rFonts w:eastAsia="Calibri"/>
          <w:sz w:val="28"/>
          <w:szCs w:val="28"/>
        </w:rPr>
        <w:t xml:space="preserve">OAuth2/JWT-based tokens identify users, while role-based access control (RBAC) restricts consumers, collection </w:t>
      </w:r>
      <w:r>
        <w:rPr>
          <w:rFonts w:eastAsia="Calibri"/>
          <w:sz w:val="28"/>
          <w:szCs w:val="28"/>
        </w:rPr>
        <w:t>centers</w:t>
      </w:r>
      <w:r>
        <w:rPr>
          <w:rFonts w:eastAsia="Calibri"/>
          <w:sz w:val="28"/>
          <w:szCs w:val="28"/>
        </w:rPr>
        <w:t>, recyclers, and administrators to their permitted operations and data.</w:t>
      </w:r>
    </w:p>
    <w:p w14:paraId="0BE11262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Data Protection: </w:t>
      </w:r>
      <w:r>
        <w:rPr>
          <w:rFonts w:eastAsia="Calibri"/>
          <w:sz w:val="28"/>
          <w:szCs w:val="28"/>
        </w:rPr>
        <w:t>TLS encrypts data in transit between clients, the gateway, and services; sensitive fields (e.g., personal identifiers) are encrypted at rest in the databases.</w:t>
      </w:r>
    </w:p>
    <w:p w14:paraId="548AFAF0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Service-to-Service Security: </w:t>
      </w:r>
      <w:r>
        <w:rPr>
          <w:rFonts w:eastAsia="Calibri"/>
          <w:sz w:val="28"/>
          <w:szCs w:val="28"/>
        </w:rPr>
        <w:t>mutual TLS or signed service tokens verify that inter-service and event-broker traffic originates from trusted components within the cluster.</w:t>
      </w:r>
    </w:p>
    <w:p w14:paraId="72C9BD83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Input Validation and Rate Limiting: </w:t>
      </w:r>
      <w:r>
        <w:rPr>
          <w:rFonts w:eastAsia="Calibri"/>
          <w:sz w:val="28"/>
          <w:szCs w:val="28"/>
        </w:rPr>
        <w:t>the API Gateway validates and throttles incoming requests to mitigate abuse, injection attacks, and denial-of-service attempts.</w:t>
      </w:r>
    </w:p>
    <w:p w14:paraId="40783789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Auditability: </w:t>
      </w:r>
      <w:r>
        <w:rPr>
          <w:rFonts w:eastAsia="Calibri"/>
          <w:sz w:val="28"/>
          <w:szCs w:val="28"/>
        </w:rPr>
        <w:t>all pickup, classification, and recycling-status events are logged immutably to support compliance audits requested by government bodies.</w:t>
      </w:r>
    </w:p>
    <w:p w14:paraId="5EF760CE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Secrets Management: </w:t>
      </w:r>
      <w:r>
        <w:rPr>
          <w:rFonts w:eastAsia="Calibri"/>
          <w:sz w:val="28"/>
          <w:szCs w:val="28"/>
        </w:rPr>
        <w:t>API keys for external systems (GIS, payment, AI model server) are stored in a managed secrets vault rather than in application code or configuration files.</w:t>
      </w:r>
    </w:p>
    <w:p w14:paraId="32DC81D7">
      <w:pPr>
        <w:pStyle w:val="style0"/>
        <w:spacing w:before="400" w:after="200" w:lineRule="auto" w:line="276"/>
        <w:rPr>
          <w:rFonts w:eastAsia="Calibri"/>
          <w:b/>
          <w:bCs/>
          <w:color w:val="000000"/>
          <w:sz w:val="36"/>
          <w:szCs w:val="36"/>
        </w:rPr>
      </w:pPr>
    </w:p>
    <w:p w14:paraId="5349971A">
      <w:pPr>
        <w:pStyle w:val="style0"/>
        <w:spacing w:before="400" w:after="200" w:lineRule="auto" w:line="276"/>
        <w:rPr/>
      </w:pPr>
      <w:r>
        <w:rPr>
          <w:rFonts w:eastAsia="Calibri"/>
          <w:b/>
          <w:bCs/>
          <w:color w:val="000000"/>
          <w:sz w:val="36"/>
          <w:szCs w:val="36"/>
        </w:rPr>
        <w:t>9. Deployment Architecture and DevOps Strategy</w:t>
      </w:r>
    </w:p>
    <w:p w14:paraId="4936993C">
      <w:pPr>
        <w:pStyle w:val="style0"/>
        <w:spacing w:after="160" w:lineRule="auto" w:line="276"/>
        <w:jc w:val="both"/>
        <w:rPr/>
      </w:pPr>
      <w:r>
        <w:rPr>
          <w:rFonts w:eastAsia="Calibri"/>
          <w:sz w:val="28"/>
          <w:szCs w:val="28"/>
        </w:rPr>
        <w:t>The platform is deployed on a container-orchestration platform to satisfy the scalability and availability requirements identified earlier.</w:t>
      </w:r>
    </w:p>
    <w:p w14:paraId="4EA17600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Containerization: </w:t>
      </w:r>
      <w:r>
        <w:rPr>
          <w:rFonts w:eastAsia="Calibri"/>
          <w:sz w:val="28"/>
          <w:szCs w:val="28"/>
        </w:rPr>
        <w:t>each microservice is packaged as an independent Docker image with its own dependencies, enabling isolated builds and deployments.</w:t>
      </w:r>
    </w:p>
    <w:p w14:paraId="2338CAB9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Orchestration: </w:t>
      </w:r>
      <w:r>
        <w:rPr>
          <w:rFonts w:eastAsia="Calibri"/>
          <w:sz w:val="28"/>
          <w:szCs w:val="28"/>
        </w:rPr>
        <w:t>Kubernetes manages deployment, scaling, self-healing (automatic restart of failed containers), and rolling updates with zero downtime.</w:t>
      </w:r>
    </w:p>
    <w:p w14:paraId="54C5E430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Auto-Scaling: </w:t>
      </w:r>
      <w:r>
        <w:rPr>
          <w:rFonts w:eastAsia="Calibri"/>
          <w:sz w:val="28"/>
          <w:szCs w:val="28"/>
        </w:rPr>
        <w:t>horizontal pod autoscaling increases replicas of compute-intensive services (e.g., AI Classification) automatically during peak load and scales down during quiet periods to control cost.</w:t>
      </w:r>
    </w:p>
    <w:p w14:paraId="46CFDC21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CI/CD Pipeline: </w:t>
      </w:r>
      <w:r>
        <w:rPr>
          <w:rFonts w:eastAsia="Calibri"/>
          <w:sz w:val="28"/>
          <w:szCs w:val="28"/>
        </w:rPr>
        <w:t>code changes are automatically built, tested, containerized, and deployed through a pipeline (e.g., GitHub Actions/Jenkins), enabling frequent, low-risk releases for individual services.</w:t>
      </w:r>
    </w:p>
    <w:p w14:paraId="2F3CBDE6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Multi-Environment Strategy: </w:t>
      </w:r>
      <w:r>
        <w:rPr>
          <w:rFonts w:eastAsia="Calibri"/>
          <w:sz w:val="28"/>
          <w:szCs w:val="28"/>
        </w:rPr>
        <w:t>separate development, staging, and production environments/clusters ensure changes are validated before reaching real users.</w:t>
      </w:r>
    </w:p>
    <w:p w14:paraId="484DE736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Observability: </w:t>
      </w:r>
      <w:r>
        <w:rPr>
          <w:rFonts w:eastAsia="Calibri"/>
          <w:sz w:val="28"/>
          <w:szCs w:val="28"/>
        </w:rPr>
        <w:t>centralized logging (ELK) and metrics/dashboards (Prometheus/Grafana) allow operators to detect and diagnose issues across distributed services quickly.</w:t>
      </w:r>
    </w:p>
    <w:p w14:paraId="6FABE778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Disaster Recovery: </w:t>
      </w:r>
      <w:r>
        <w:rPr>
          <w:rFonts w:eastAsia="Calibri"/>
          <w:sz w:val="28"/>
          <w:szCs w:val="28"/>
        </w:rPr>
        <w:t>regular automated backups of transactional and analytics databases, combined with multi-availability-zone deployment, minimize data loss and downtime risk.</w:t>
      </w:r>
    </w:p>
    <w:p w14:paraId="30DBD32B">
      <w:pPr>
        <w:pStyle w:val="style0"/>
        <w:spacing w:before="400" w:after="200" w:lineRule="auto" w:line="276"/>
        <w:rPr/>
      </w:pPr>
      <w:r>
        <w:rPr>
          <w:rFonts w:eastAsia="Calibri"/>
          <w:b/>
          <w:bCs/>
          <w:color w:val="000000"/>
          <w:sz w:val="36"/>
          <w:szCs w:val="36"/>
        </w:rPr>
        <w:t>10. Justification of Architectural Decisions</w:t>
      </w:r>
    </w:p>
    <w:p w14:paraId="7C40D3BC">
      <w:pPr>
        <w:pStyle w:val="style0"/>
        <w:spacing w:before="240" w:after="120" w:lineRule="auto" w:line="276"/>
        <w:rPr/>
      </w:pPr>
      <w:r>
        <w:rPr>
          <w:rFonts w:eastAsia="Calibri"/>
          <w:b/>
          <w:bCs/>
          <w:color w:val="000000"/>
          <w:sz w:val="30"/>
          <w:szCs w:val="30"/>
        </w:rPr>
        <w:t>10.1 Rationale</w:t>
      </w:r>
    </w:p>
    <w:p w14:paraId="5E07DF90">
      <w:pPr>
        <w:pStyle w:val="style0"/>
        <w:spacing w:after="160" w:lineRule="auto" w:line="276"/>
        <w:jc w:val="both"/>
        <w:rPr/>
      </w:pPr>
      <w:r>
        <w:rPr>
          <w:rFonts w:eastAsia="Calibri"/>
          <w:sz w:val="28"/>
          <w:szCs w:val="28"/>
        </w:rPr>
        <w:t xml:space="preserve">The core rationale is separation of concerns aligned to distinct business capabilities (scheduling, classification, routing, monitoring, reporting) combined with asynchronous, event-based communication for time-sensitive, high-volume IoT and status data. This mirrors how the real-world stakeholders — consumers, collection </w:t>
      </w:r>
      <w:r>
        <w:rPr>
          <w:rFonts w:eastAsia="Calibri"/>
          <w:sz w:val="28"/>
          <w:szCs w:val="28"/>
        </w:rPr>
        <w:t>centers</w:t>
      </w:r>
      <w:r>
        <w:rPr>
          <w:rFonts w:eastAsia="Calibri"/>
          <w:sz w:val="28"/>
          <w:szCs w:val="28"/>
        </w:rPr>
        <w:t>, recyclers, and regulators — operate largely independently but must stay loosely synchronized.</w:t>
      </w:r>
    </w:p>
    <w:p w14:paraId="200ADE6A">
      <w:pPr>
        <w:pStyle w:val="style0"/>
        <w:spacing w:before="240" w:after="120" w:lineRule="auto" w:line="276"/>
        <w:rPr>
          <w:rFonts w:eastAsia="Calibri"/>
          <w:b/>
          <w:bCs/>
          <w:color w:val="000000"/>
          <w:sz w:val="30"/>
          <w:szCs w:val="30"/>
        </w:rPr>
      </w:pPr>
    </w:p>
    <w:p w14:paraId="6F187259">
      <w:pPr>
        <w:pStyle w:val="style0"/>
        <w:spacing w:before="240" w:after="120" w:lineRule="auto" w:line="276"/>
        <w:rPr/>
      </w:pPr>
      <w:r>
        <w:rPr>
          <w:rFonts w:eastAsia="Calibri"/>
          <w:b/>
          <w:bCs/>
          <w:color w:val="000000"/>
          <w:sz w:val="30"/>
          <w:szCs w:val="30"/>
        </w:rPr>
        <w:t>10.2 Trade-offs Considered</w:t>
      </w:r>
    </w:p>
    <w:p w14:paraId="17E7B4C6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Complexity vs. flexibility: </w:t>
      </w:r>
      <w:r>
        <w:rPr>
          <w:rFonts w:eastAsia="Calibri"/>
          <w:sz w:val="28"/>
          <w:szCs w:val="28"/>
        </w:rPr>
        <w:t>microservices introduce operational complexity (service discovery, monitoring, distributed data) compared to a monolith, but this is justified by the independent scaling and deployment needs of AI and IoT workloads.</w:t>
      </w:r>
    </w:p>
    <w:p w14:paraId="2F0ECDE6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Eventual consistency vs. simplicity: </w:t>
      </w:r>
      <w:r>
        <w:rPr>
          <w:rFonts w:eastAsia="Calibri"/>
          <w:sz w:val="28"/>
          <w:szCs w:val="28"/>
        </w:rPr>
        <w:t>using an event bus means some data (e.g., recycling status) is only eventually consistent across services, which is acceptable here since near-real-time updates are sufficient for this domain.</w:t>
      </w:r>
    </w:p>
    <w:p w14:paraId="65FDAC58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b/>
          <w:bCs/>
          <w:sz w:val="28"/>
          <w:szCs w:val="28"/>
        </w:rPr>
        <w:t xml:space="preserve">Operational cost vs. resilience: </w:t>
      </w:r>
      <w:r>
        <w:rPr>
          <w:rFonts w:eastAsia="Calibri"/>
          <w:sz w:val="28"/>
          <w:szCs w:val="28"/>
        </w:rPr>
        <w:t>running a message broker and multiple containers costs more than a single deployable unit, but it significantly improves fault isolation and uptime.</w:t>
      </w:r>
    </w:p>
    <w:p w14:paraId="4FC9AA39">
      <w:pPr>
        <w:pStyle w:val="style0"/>
        <w:spacing w:before="240" w:after="120" w:lineRule="auto" w:line="276"/>
        <w:rPr/>
      </w:pPr>
      <w:r>
        <w:rPr>
          <w:rFonts w:eastAsia="Calibri"/>
          <w:b/>
          <w:bCs/>
          <w:color w:val="000000"/>
          <w:sz w:val="30"/>
          <w:szCs w:val="30"/>
        </w:rPr>
        <w:t>10.3 Support for Future Enhancements and Long-Term Maintainability</w:t>
      </w:r>
    </w:p>
    <w:p w14:paraId="06942906">
      <w:pPr>
        <w:pStyle w:val="style0"/>
        <w:spacing w:after="160" w:lineRule="auto" w:line="276"/>
        <w:jc w:val="both"/>
        <w:rPr/>
      </w:pPr>
      <w:r>
        <w:rPr>
          <w:rFonts w:eastAsia="Calibri"/>
          <w:sz w:val="28"/>
          <w:szCs w:val="28"/>
        </w:rPr>
        <w:t>The architecture supports future growth without major redesign:</w:t>
      </w:r>
    </w:p>
    <w:p w14:paraId="7CF67643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New services (e.g., a blockchain-based traceability service or a citizen rewards/incentive service) can be plugged in by subscribing to existing events on the broker.</w:t>
      </w:r>
    </w:p>
    <w:p w14:paraId="1623D331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The AI Waste Classification Service's model can be upgraded or A/B tested independently as ML techniques improve.</w:t>
      </w:r>
    </w:p>
    <w:p w14:paraId="7769B32C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Additional external integrations (new municipal or recycler APIs) can be added at the service boundary without impacting the rest of the system.</w:t>
      </w:r>
    </w:p>
    <w:p w14:paraId="2D0B9DEA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The API Gateway allows new client types (e.g., a field-agent mobile app) to be onboarded without changing backend services.</w:t>
      </w:r>
    </w:p>
    <w:p w14:paraId="31B5E875">
      <w:pPr>
        <w:pStyle w:val="style179"/>
        <w:numPr>
          <w:ilvl w:val="0"/>
          <w:numId w:val="1"/>
        </w:numPr>
        <w:spacing w:after="120" w:lineRule="auto" w:line="276"/>
        <w:rPr/>
      </w:pPr>
      <w:r>
        <w:rPr>
          <w:rFonts w:eastAsia="Calibri"/>
          <w:sz w:val="28"/>
          <w:szCs w:val="28"/>
        </w:rPr>
        <w:t>Cloud-native deployment with containers and auto-scaling allows the platform to expand to new cities/regions by scaling infrastructure rather than re-architecting the system.</w:t>
      </w:r>
    </w:p>
    <w:p w14:paraId="2AA3B12A">
      <w:pPr>
        <w:pStyle w:val="style0"/>
        <w:spacing w:before="400" w:after="200" w:lineRule="auto" w:line="276"/>
        <w:rPr/>
      </w:pPr>
      <w:r>
        <w:rPr>
          <w:rFonts w:eastAsia="Calibri"/>
          <w:b/>
          <w:bCs/>
          <w:color w:val="000000"/>
          <w:sz w:val="36"/>
          <w:szCs w:val="36"/>
        </w:rPr>
        <w:t>11. Conclusion</w:t>
      </w:r>
    </w:p>
    <w:p w14:paraId="64D057DF">
      <w:pPr>
        <w:pStyle w:val="style0"/>
        <w:spacing w:after="160" w:lineRule="auto" w:line="276"/>
        <w:jc w:val="both"/>
        <w:rPr/>
      </w:pPr>
      <w:r>
        <w:rPr>
          <w:rFonts w:eastAsia="Calibri"/>
          <w:sz w:val="28"/>
          <w:szCs w:val="28"/>
        </w:rPr>
        <w:t xml:space="preserve">The AI-Based Smart E-Waste Collection and Recycling Management Platform addresses a pressing environmental challenge by digitally coordinating consumers, collection </w:t>
      </w:r>
      <w:r>
        <w:rPr>
          <w:rFonts w:eastAsia="Calibri"/>
          <w:sz w:val="28"/>
          <w:szCs w:val="28"/>
        </w:rPr>
        <w:t>centers</w:t>
      </w:r>
      <w:r>
        <w:rPr>
          <w:rFonts w:eastAsia="Calibri"/>
          <w:sz w:val="28"/>
          <w:szCs w:val="28"/>
        </w:rPr>
        <w:t>, recycling facilities, and regulators. A Hybrid Microservices and Event-Driven Architecture, accessed through a unified API Gateway, was selected because it directly maps to the platform's distinct business capabilities and its mix of real-time user interactions and high-volume asynchronous IoT/AI events. The architecture satisfies the required quality attributes — scalability, security, performance, reliability, maintainability, and availability — while remaining flexible enough to support future enhancements such as blockchain-based traceability or expanded regulatory integrations. Overall, the proposed design provides a robust technical foundation for improving e-waste recycling efficiency and supporting long-term, sustainable waste-management goals.</w:t>
      </w:r>
    </w:p>
    <w:p w14:paraId="27C7E805">
      <w:pPr>
        <w:pStyle w:val="style0"/>
        <w:spacing w:before="300" w:lineRule="auto" w:line="276"/>
        <w:rPr/>
      </w:pPr>
    </w:p>
    <w:sectPr>
      <w:pgSz w:w="12240" w:h="15840" w:orient="portrait"/>
      <w:pgMar w:top="1080" w:right="1260" w:bottom="108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004020304"/>
    <w:charset w:val="00"/>
    <w:family w:val="roman"/>
    <w:pitch w:val="variable"/>
    <w:sig w:usb0="E0002EFF" w:usb1="C000785B" w:usb2="00000009" w:usb3="00000000" w:csb0="000001FF" w:csb1="00000000"/>
  </w:font>
  <w:font w:name="Calibri">
    <w:altName w:val="Calibri"/>
    <w:panose1 w:val="020f0502020002030204"/>
    <w:charset w:val="00"/>
    <w:family w:val="swiss"/>
    <w:pitch w:val="variable"/>
    <w:sig w:usb0="E4002EFF" w:usb1="C200247B" w:usb2="00000009" w:usb3="00000000" w:csb0="000001FF" w:csb1="00000000"/>
  </w:font>
  <w:font w:name="Calibri Light">
    <w:altName w:val="Calibri Light"/>
    <w:panose1 w:val="020f0302020002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hybridMultilevel"/>
    <w:tmpl w:val="A678BAD8"/>
    <w:lvl w:ilvl="0" w:tplc="AA64686A">
      <w:start w:val="1"/>
      <w:numFmt w:val="bullet"/>
      <w:lvlText w:val="●"/>
      <w:lvlJc w:val="left"/>
      <w:pPr>
        <w:ind w:left="720" w:hanging="360"/>
      </w:pPr>
    </w:lvl>
    <w:lvl w:ilvl="1" w:tplc="1CD0A162">
      <w:start w:val="1"/>
      <w:numFmt w:val="bullet"/>
      <w:lvlText w:val="○"/>
      <w:lvlJc w:val="left"/>
      <w:pPr>
        <w:ind w:left="1440" w:hanging="360"/>
      </w:pPr>
    </w:lvl>
    <w:lvl w:ilvl="2" w:tplc="A7B0B5EE">
      <w:start w:val="1"/>
      <w:numFmt w:val="bullet"/>
      <w:lvlText w:val="■"/>
      <w:lvlJc w:val="left"/>
      <w:pPr>
        <w:ind w:left="2160" w:hanging="360"/>
      </w:pPr>
    </w:lvl>
    <w:lvl w:ilvl="3" w:tplc="10642154">
      <w:start w:val="1"/>
      <w:numFmt w:val="bullet"/>
      <w:lvlText w:val="●"/>
      <w:lvlJc w:val="left"/>
      <w:pPr>
        <w:ind w:left="2880" w:hanging="360"/>
      </w:pPr>
    </w:lvl>
    <w:lvl w:ilvl="4" w:tplc="FF2CE1F8">
      <w:start w:val="1"/>
      <w:numFmt w:val="bullet"/>
      <w:lvlText w:val="○"/>
      <w:lvlJc w:val="left"/>
      <w:pPr>
        <w:ind w:left="3600" w:hanging="360"/>
      </w:pPr>
    </w:lvl>
    <w:lvl w:ilvl="5" w:tplc="AD123C0A">
      <w:start w:val="1"/>
      <w:numFmt w:val="bullet"/>
      <w:lvlText w:val="■"/>
      <w:lvlJc w:val="left"/>
      <w:pPr>
        <w:ind w:left="4320" w:hanging="360"/>
      </w:pPr>
    </w:lvl>
    <w:lvl w:ilvl="6" w:tplc="C9125466">
      <w:start w:val="1"/>
      <w:numFmt w:val="bullet"/>
      <w:lvlText w:val="●"/>
      <w:lvlJc w:val="left"/>
      <w:pPr>
        <w:ind w:left="5040" w:hanging="360"/>
      </w:pPr>
    </w:lvl>
    <w:lvl w:ilvl="7" w:tplc="1F02D6B2">
      <w:start w:val="1"/>
      <w:numFmt w:val="bullet"/>
      <w:lvlText w:val="●"/>
      <w:lvlJc w:val="left"/>
      <w:pPr>
        <w:ind w:left="5760" w:hanging="360"/>
      </w:pPr>
    </w:lvl>
    <w:lvl w:ilvl="8" w:tplc="E87ED8BA">
      <w:start w:val="1"/>
      <w:numFmt w:val="bullet"/>
      <w:lvlText w:val="●"/>
      <w:lvlJc w:val="left"/>
      <w:pPr>
        <w:ind w:left="6480" w:hanging="360"/>
      </w:pPr>
    </w:lvl>
  </w:abstractNum>
  <w:abstractNum w:abstractNumId="1">
    <w:nsid w:val="00000001"/>
    <w:multiLevelType w:val="hybridMultilevel"/>
    <w:tmpl w:val="A8C8A75A"/>
    <w:lvl w:ilvl="0" w:tplc="C13CCA36">
      <w:start w:val="1"/>
      <w:numFmt w:val="bullet"/>
      <w:lvlText w:val="•"/>
      <w:lvlJc w:val="left"/>
      <w:pPr>
        <w:ind w:left="460" w:hanging="260"/>
      </w:pPr>
    </w:lvl>
    <w:lvl w:ilvl="1" w:tplc="12B85CF4">
      <w:start w:val="1"/>
      <w:numFmt w:val="bullet"/>
      <w:lvlText w:val="◦"/>
      <w:lvlJc w:val="left"/>
      <w:pPr>
        <w:ind w:left="920" w:hanging="260"/>
      </w:pPr>
    </w:lvl>
    <w:lvl w:ilvl="2" w:tplc="8ECCC152">
      <w:start w:val="1"/>
      <w:numFmt w:val="decimal"/>
      <w:lvlText w:val=""/>
      <w:lvlJc w:val="left"/>
      <w:pPr/>
    </w:lvl>
    <w:lvl w:ilvl="3" w:tplc="04E0789E">
      <w:start w:val="1"/>
      <w:numFmt w:val="decimal"/>
      <w:lvlText w:val=""/>
      <w:lvlJc w:val="left"/>
      <w:pPr/>
    </w:lvl>
    <w:lvl w:ilvl="4" w:tplc="E430CAE0">
      <w:start w:val="1"/>
      <w:numFmt w:val="decimal"/>
      <w:lvlText w:val=""/>
      <w:lvlJc w:val="left"/>
      <w:pPr/>
    </w:lvl>
    <w:lvl w:ilvl="5" w:tplc="776CD21C">
      <w:start w:val="1"/>
      <w:numFmt w:val="decimal"/>
      <w:lvlText w:val=""/>
      <w:lvlJc w:val="left"/>
      <w:pPr/>
    </w:lvl>
    <w:lvl w:ilvl="6" w:tplc="379818BC">
      <w:start w:val="1"/>
      <w:numFmt w:val="decimal"/>
      <w:lvlText w:val=""/>
      <w:lvlJc w:val="left"/>
      <w:pPr/>
    </w:lvl>
    <w:lvl w:ilvl="7" w:tplc="68EC8752">
      <w:start w:val="1"/>
      <w:numFmt w:val="decimal"/>
      <w:lvlText w:val=""/>
      <w:lvlJc w:val="left"/>
      <w:pPr/>
    </w:lvl>
    <w:lvl w:ilvl="8" w:tplc="BD306DDA">
      <w:start w:val="1"/>
      <w:numFmt w:val="decimal"/>
      <w:lvlText w:val=""/>
      <w:lvlJc w:val="left"/>
      <w:pPr/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percent="100"/>
  <w:displayBackgroundShape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Times New Roman" w:cs="Times New Roman" w:eastAsia="Times New Roman" w:hAnsi="Times New Roman"/>
        <w:lang w:val="en-IN" w:bidi="ar-SA" w:eastAsia="en-IN"/>
      </w:rPr>
    </w:rPrDefault>
    <w:pPrDefault>
      <w:pPr/>
    </w:pPrDefault>
  </w:docDefaults>
  <w:style w:type="paragraph" w:default="1" w:styleId="style0">
    <w:name w:val="Normal"/>
    <w:next w:val="style0"/>
    <w:qFormat/>
    <w:pPr/>
  </w:style>
  <w:style w:type="paragraph" w:styleId="style1">
    <w:name w:val="heading 1"/>
    <w:next w:val="style1"/>
    <w:qFormat/>
    <w:uiPriority w:val="9"/>
    <w:pPr>
      <w:outlineLvl w:val="0"/>
    </w:pPr>
    <w:rPr>
      <w:color w:val="2e74b5"/>
      <w:sz w:val="32"/>
      <w:szCs w:val="32"/>
    </w:rPr>
  </w:style>
  <w:style w:type="paragraph" w:styleId="style2">
    <w:name w:val="heading 2"/>
    <w:next w:val="style2"/>
    <w:qFormat/>
    <w:uiPriority w:val="9"/>
    <w:pPr>
      <w:outlineLvl w:val="1"/>
    </w:pPr>
    <w:rPr>
      <w:color w:val="2e74b5"/>
      <w:sz w:val="26"/>
      <w:szCs w:val="26"/>
    </w:rPr>
  </w:style>
  <w:style w:type="paragraph" w:styleId="style3">
    <w:name w:val="heading 3"/>
    <w:next w:val="style3"/>
    <w:qFormat/>
    <w:uiPriority w:val="9"/>
    <w:pPr>
      <w:outlineLvl w:val="2"/>
    </w:pPr>
    <w:rPr>
      <w:color w:val="1f4d78"/>
      <w:sz w:val="24"/>
      <w:szCs w:val="24"/>
    </w:rPr>
  </w:style>
  <w:style w:type="paragraph" w:styleId="style4">
    <w:name w:val="heading 4"/>
    <w:next w:val="style4"/>
    <w:qFormat/>
    <w:uiPriority w:val="9"/>
    <w:pPr>
      <w:outlineLvl w:val="3"/>
    </w:pPr>
    <w:rPr>
      <w:i/>
      <w:iCs/>
      <w:color w:val="2e74b5"/>
    </w:rPr>
  </w:style>
  <w:style w:type="paragraph" w:styleId="style5">
    <w:name w:val="heading 5"/>
    <w:next w:val="style5"/>
    <w:qFormat/>
    <w:uiPriority w:val="9"/>
    <w:pPr>
      <w:outlineLvl w:val="4"/>
    </w:pPr>
    <w:rPr>
      <w:color w:val="2e74b5"/>
    </w:rPr>
  </w:style>
  <w:style w:type="paragraph" w:styleId="style6">
    <w:name w:val="heading 6"/>
    <w:next w:val="style6"/>
    <w:qFormat/>
    <w:uiPriority w:val="9"/>
    <w:pPr>
      <w:outlineLvl w:val="5"/>
    </w:pPr>
    <w:rPr>
      <w:color w:val="1f4d78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62">
    <w:name w:val="Title"/>
    <w:next w:val="style62"/>
    <w:qFormat/>
    <w:uiPriority w:val="10"/>
    <w:pPr/>
    <w:rPr>
      <w:sz w:val="56"/>
      <w:szCs w:val="56"/>
    </w:rPr>
  </w:style>
  <w:style w:type="paragraph" w:customStyle="1" w:styleId="style4097">
    <w:name w:val="Strong1"/>
    <w:next w:val="style4097"/>
    <w:qFormat/>
    <w:pPr/>
    <w:rPr>
      <w:b/>
      <w:bCs/>
    </w:rPr>
  </w:style>
  <w:style w:type="paragraph" w:styleId="style179">
    <w:name w:val="List Paragraph"/>
    <w:next w:val="style179"/>
    <w:qFormat/>
    <w:pPr/>
  </w:style>
  <w:style w:type="character" w:styleId="style85">
    <w:name w:val="Hyperlink"/>
    <w:next w:val="style85"/>
    <w:uiPriority w:val="99"/>
    <w:rPr>
      <w:color w:val="0563c1"/>
      <w:u w:val="single"/>
    </w:rPr>
  </w:style>
  <w:style w:type="character" w:styleId="style38">
    <w:name w:val="footnote reference"/>
    <w:next w:val="style38"/>
    <w:uiPriority w:val="99"/>
    <w:rPr>
      <w:vertAlign w:val="superscript"/>
    </w:rPr>
  </w:style>
  <w:style w:type="paragraph" w:styleId="style29">
    <w:name w:val="footnote text"/>
    <w:next w:val="style29"/>
    <w:link w:val="style4098"/>
    <w:uiPriority w:val="99"/>
    <w:pPr/>
  </w:style>
  <w:style w:type="character" w:customStyle="1" w:styleId="style4098">
    <w:name w:val="Footnote Text Char"/>
    <w:next w:val="style4098"/>
    <w:link w:val="style29"/>
    <w:uiPriority w:val="99"/>
    <w:rPr>
      <w:sz w:val="20"/>
      <w:szCs w:val="20"/>
    </w:rPr>
  </w:style>
  <w:style w:type="character" w:styleId="style42">
    <w:name w:val="endnote reference"/>
    <w:next w:val="style42"/>
    <w:uiPriority w:val="99"/>
    <w:rPr>
      <w:vertAlign w:val="superscript"/>
    </w:rPr>
  </w:style>
  <w:style w:type="paragraph" w:styleId="style43">
    <w:name w:val="endnote text"/>
    <w:next w:val="style43"/>
    <w:link w:val="style4099"/>
    <w:uiPriority w:val="99"/>
    <w:pPr/>
  </w:style>
  <w:style w:type="character" w:customStyle="1" w:styleId="style4099">
    <w:name w:val="Endnote Text Char"/>
    <w:next w:val="style4099"/>
    <w:link w:val="style43"/>
    <w:uiPriority w:val="99"/>
    <w:rPr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styles" Target="styles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Words>2543</Words>
  <Pages>13</Pages>
  <Characters>17113</Characters>
  <Application>WPS Office</Application>
  <DocSecurity>0</DocSecurity>
  <Paragraphs>164</Paragraphs>
  <ScaleCrop>false</ScaleCrop>
  <LinksUpToDate>false</LinksUpToDate>
  <CharactersWithSpaces>19521</CharactersWithSpaces>
  <SharedDoc>false</SharedDoc>
  <HyperlinksChanged>false</HyperlinksChanged>
  <AppVersion>16.000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2026-08-13T04:05:00Z</dcterms:created>
  <dc:creator>Un-named</dc:creator>
  <lastModifiedBy>CPH2603</lastModifiedBy>
  <dcterms:modified xsi:type="dcterms:W3CDTF">2026-08-13T04:07:51Z</dcterms:modified>
  <revision>3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9704954a020049169807eb74ba1074be_23</vt:lpwstr>
  </property>
</Properties>
</file>