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pPr>
        <w:spacing w:before="120" w:after="120" w:line="276" w:lineRule="auto"/>
        <w:jc w:val="left"/>
      </w:pPr>
    </w:p>
    <w:p>
      <w:pPr>
        <w:spacing w:before="120" w:after="120" w:line="276" w:lineRule="auto"/>
        <w:jc w:val="left"/>
      </w:pPr>
    </w:p>
    <w:p>
      <w:pPr>
        <w:spacing w:before="120" w:after="120" w:line="276" w:lineRule="auto"/>
        <w:jc w:val="left"/>
      </w:pPr>
    </w:p>
    <w:p>
      <w:pPr>
        <w:spacing w:before="0" w:after="0" w:line="480" w:lineRule="auto"/>
        <w:jc w:val="center"/>
      </w:pPr>
      <w:r>
        <w:rPr>
          <w:rFonts w:ascii="times new roman" w:eastAsia="times new roman" w:hAnsi="times new roman" w:cs="times new roman"/>
          <w:b/>
          <w:bCs/>
        </w:rPr>
        <w:t>Artificial Intelligence and Cybersecurity in Autonomous Vehicles</w:t>
      </w:r>
    </w:p>
    <w:p>
      <w:pPr>
        <w:spacing w:before="120" w:after="120" w:line="276" w:lineRule="auto"/>
        <w:jc w:val="left"/>
      </w:pPr>
    </w:p>
    <w:p>
      <w:pPr>
        <w:spacing w:before="0" w:after="0" w:line="480" w:lineRule="auto"/>
        <w:jc w:val="center"/>
      </w:pPr>
      <w:r>
        <w:rPr>
          <w:rFonts w:ascii="times new roman" w:eastAsia="times new roman" w:hAnsi="times new roman" w:cs="times new roman"/>
        </w:rPr>
        <w:t>Nemallipuri Datha, Vutukuri Reshmi, Baskaran Hithish, and Christopher Ememal</w:t>
      </w:r>
    </w:p>
    <w:p>
      <w:pPr>
        <w:spacing w:before="0" w:after="0" w:line="480" w:lineRule="auto"/>
        <w:jc w:val="center"/>
      </w:pPr>
      <w:r>
        <w:rPr>
          <w:rFonts w:ascii="times new roman" w:eastAsia="times new roman" w:hAnsi="times new roman" w:cs="times new roman"/>
        </w:rPr>
        <w:t>Jeonbuk National University</w:t>
      </w:r>
    </w:p>
    <w:p>
      <w:pPr>
        <w:spacing w:before="0" w:after="0" w:line="480" w:lineRule="auto"/>
        <w:jc w:val="center"/>
      </w:pPr>
      <w:r>
        <w:rPr>
          <w:rFonts w:ascii="times new roman" w:eastAsia="times new roman" w:hAnsi="times new roman" w:cs="times new roman"/>
        </w:rPr>
        <w:t>Dr. Juhyung Sun</w:t>
      </w:r>
    </w:p>
    <w:p>
      <w:pPr>
        <w:spacing w:before="0" w:after="0" w:line="480" w:lineRule="auto"/>
        <w:jc w:val="center"/>
      </w:pPr>
      <w:r>
        <w:rPr>
          <w:rFonts w:ascii="times new roman" w:eastAsia="times new roman" w:hAnsi="times new roman" w:cs="times new roman"/>
        </w:rPr>
        <w:t>June 15, 2026</w:t>
      </w:r>
    </w:p>
    <w:p>
      <w:pPr>
        <w:spacing w:before="120" w:after="120" w:line="276" w:lineRule="auto"/>
        <w:jc w:val="left"/>
      </w:pPr>
    </w:p>
    <w:p>
      <w:pPr>
        <w:spacing w:before="0" w:after="0" w:line="480" w:lineRule="auto"/>
        <w:jc w:val="center"/>
      </w:pPr>
      <w:r>
        <w:rPr>
          <w:rFonts w:ascii="times new roman" w:eastAsia="times new roman" w:hAnsi="times new roman" w:cs="times new roman"/>
          <w:b/>
          <w:bCs/>
        </w:rPr>
        <w:t>Artificial Intelligence and Cybersecurity in Autonomous Vehicles</w:t>
      </w:r>
    </w:p>
    <w:p>
      <w:pPr>
        <w:spacing w:before="0" w:after="0" w:line="480" w:lineRule="auto"/>
        <w:jc w:val="left"/>
      </w:pPr>
      <w:r>
        <w:rPr>
          <w:rFonts w:ascii="times new roman" w:eastAsia="times new roman" w:hAnsi="times new roman" w:cs="times new roman"/>
          <w:b/>
          <w:bCs/>
        </w:rPr>
        <w:t>1. Introduction to Autonomous Vehicles</w:t>
      </w:r>
    </w:p>
    <w:p>
      <w:pPr>
        <w:spacing w:before="0" w:after="0" w:line="480" w:lineRule="auto"/>
        <w:jc w:val="left"/>
      </w:pPr>
      <w:r>
        <w:rPr>
          <w:rFonts w:ascii="times new roman" w:eastAsia="times new roman" w:hAnsi="times new roman" w:cs="times new roman"/>
        </w:rPr>
        <w:t xml:space="preserve">Modern vehicular engineering is undergoing a major structural transition, evolving rapidly from traditional mechanical assemblies into highly integrated, software-defined ecosystems. This paradigm shift fundamentally redefines how modern transit operates. Fully self-driving vehicles (AVs) exploit a deep convergence of embedded artificial intelligence, sophisticated machine learning models, and extensive onboard multi-sensor arrays—including ultra-high-resolution optical cameras, radar units, and light detection and ranging (LiDAR) systems—to perceive environments, plan long-range paths, and execute tactical operations without human control (Noviati et al., 2024). </w:t>
      </w:r>
    </w:p>
    <w:p>
      <w:pPr>
        <w:spacing w:before="0" w:after="0" w:line="480" w:lineRule="auto"/>
        <w:jc w:val="left"/>
      </w:pPr>
      <w:r>
        <w:rPr>
          <w:rFonts w:ascii="times new roman" w:eastAsia="times new roman" w:hAnsi="times new roman" w:cs="times new roman"/>
        </w:rPr>
        <w:t>The primary driver behind this intense engineering and research momentum is public safety. 'Global collision statistics demonstrate that human factors—such as physical fatigue, cognitive distraction, driving under the influence, and delayed reflexes—are primary causes of accidents.'. By replacing inconsistent human reactions with disciplined, deterministic algorithmic systems, driverless networks possess the latent capacity to eliminate a vast most of traffic fatalities. Apart from safety optimizations, these platforms grant crucial societal advantages. These include structural improvements in urban multi-modal freight logistics, lowered greenhouse gas emissions thanks to optimized vehicle acceleration patterns, and a dramatic expansion of accessible, on-demand transportation options for aging, elderly, or physically disabled populations who are structurally excluded from driving conventional motor vehicles (Rosique et al., 2019).</w:t>
      </w:r>
    </w:p>
    <w:p>
      <w:pPr>
        <w:spacing w:before="0" w:after="0" w:line="480" w:lineRule="auto"/>
        <w:jc w:val="left"/>
      </w:pPr>
      <w:r>
        <w:rPr>
          <w:rFonts w:ascii="times new roman" w:eastAsia="times new roman" w:hAnsi="times new roman" w:cs="times new roman"/>
          <w:b/>
          <w:bCs/>
          <w:i/>
          <w:iCs/>
        </w:rPr>
        <w:t>1.Levels of Automation</w:t>
      </w:r>
    </w:p>
    <w:p>
      <w:pPr>
        <w:spacing w:before="0" w:after="0" w:line="480" w:lineRule="auto"/>
        <w:jc w:val="left"/>
      </w:pPr>
      <w:r>
        <w:rPr>
          <w:rFonts w:ascii="times new roman" w:eastAsia="times new roman" w:hAnsi="times new roman" w:cs="times new roman"/>
        </w:rPr>
        <w:t>To establish uniform technical terminology and standardize regulatory monitoring boundaries across global jurisdictions, SAE International created a comprehensive taxonomy defining six progressive tiers of driving automation, spanning from Level 0 (manual control) to Level 5 (absolute autonomy). Tiers 0 through 2 require continuous human operational management. In these basic categories, Advanced Driver Assistance Systems (ADAS) control specific lateral or longitudinal control tasks—such as maintaining distances or tracking lanes—while the human operator carries full legal responsibility for the vehicle's safe execution.</w:t>
      </w:r>
    </w:p>
    <w:p>
      <w:pPr>
        <w:spacing w:before="0" w:after="0" w:line="480" w:lineRule="auto"/>
        <w:jc w:val="left"/>
      </w:pPr>
      <w:r>
        <w:rPr>
          <w:rFonts w:ascii="times new roman" w:eastAsia="times new roman" w:hAnsi="times new roman" w:cs="times new roman"/>
        </w:rPr>
        <w:t>Level 3 marks the beginning of conditional automation, where the vehicle's computer handles full trips within specific environmental envelopes, but explicitly expects the human occupant to retake physical steering control within seconds of receiving an automated takeover alert. High automation, or Level 4, denotes a definite operational boundary: the machine takes full responsibility for all driving tasks and safety interventions, operating completely independent of human assistance. Level 5 represents the absolute pinnacle of automated driving systems, where the vehicle can traverse any unmapped environment, under any climatic condition, at any time, completely free of any operational fallback constraints.</w:t>
      </w:r>
    </w:p>
    <w:p>
      <w:pPr>
        <w:spacing w:before="0" w:after="0" w:line="480" w:lineRule="auto"/>
        <w:jc w:val="left"/>
      </w:pPr>
      <w:r>
        <w:rPr>
          <w:rFonts w:ascii="times new roman" w:eastAsia="times new roman" w:hAnsi="times new roman" w:cs="times new roman"/>
          <w:b/>
          <w:bCs/>
        </w:rPr>
        <w:t>2. Autonomous vs. Semi-Autonomous Vehicles</w:t>
      </w:r>
    </w:p>
    <w:p>
      <w:pPr>
        <w:spacing w:before="0" w:after="0" w:line="480" w:lineRule="auto"/>
        <w:jc w:val="left"/>
      </w:pPr>
      <w:r>
        <w:rPr>
          <w:rFonts w:ascii="times new roman" w:eastAsia="times new roman" w:hAnsi="times new roman" w:cs="times new roman"/>
        </w:rPr>
        <w:t xml:space="preserve">Drawing a distinct technical line between semi-autonomous platforms and fully autonomous architectures is necessary for formulating exact liability rules and aligning public end-user expectations. The ultimate difference lies in the final operational authority over the vehicle's physical movements. </w:t>
      </w:r>
    </w:p>
    <w:p>
      <w:pPr>
        <w:spacing w:before="0" w:after="0" w:line="480" w:lineRule="auto"/>
        <w:jc w:val="left"/>
      </w:pPr>
      <w:r>
        <w:rPr>
          <w:rFonts w:ascii="times new roman" w:eastAsia="times new roman" w:hAnsi="times new roman" w:cs="times new roman"/>
        </w:rPr>
        <w:t>Conversely, true autonomous configurations reshape this interaction by taking full charge of every localized routing, maneuvering, and emergency action. This structural change redefines human occupants from active pilots into nonactive passengers who may have no physical steering wheel or mechanical brake pedals. Today, commercial driverless networks deploy true Level 4 configurations, operating autonomous passenger fleets across dense, metropolitan areas without safety drivers present in the cabin, managing real-time traffic exclusively through highly accurate, geofenced tracking maps (Rosique et al., 2019).</w:t>
      </w:r>
    </w:p>
    <w:p>
      <w:pPr>
        <w:spacing w:before="0" w:after="0" w:line="480" w:lineRule="auto"/>
        <w:jc w:val="left"/>
      </w:pPr>
      <w:r>
        <w:rPr>
          <w:rFonts w:ascii="times new roman" w:eastAsia="times new roman" w:hAnsi="times new roman" w:cs="times new roman"/>
          <w:b/>
          <w:bCs/>
        </w:rPr>
        <w:t>3. Cybersecurity in Autonomous Vehicles</w:t>
      </w:r>
    </w:p>
    <w:p>
      <w:pPr>
        <w:spacing w:before="0" w:after="0" w:line="480" w:lineRule="auto"/>
        <w:ind w:firstLine="720"/>
        <w:jc w:val="left"/>
      </w:pPr>
      <w:r>
        <w:rPr>
          <w:rFonts w:ascii="times new roman" w:eastAsia="times new roman" w:hAnsi="times new roman" w:cs="times new roman"/>
        </w:rPr>
        <w:t>By design, the modern driverless vehicle acts as a highly connected, rolling data center. While extensive wireless integration enables continuous over-the-air optimization, it simultaneously creates an incredibly expansive electronic attack surface. When vehicles transmit across vehicle-to-everything (V2X) nodes, 5G cellular bands, localized Wi-Fi networks, and external cloud environments, they expose vulnerable software elements to remote disruption. Securing this surface is an urgent safety necessity, as successful cyber intrusions can rapidly transition from digital data compromises to direct physical threats on public roads.</w:t>
      </w:r>
    </w:p>
    <w:p>
      <w:pPr>
        <w:spacing w:before="0" w:after="0" w:line="480" w:lineRule="auto"/>
        <w:jc w:val="left"/>
      </w:pPr>
      <w:r>
        <w:rPr>
          <w:rFonts w:ascii="times new roman" w:eastAsia="times new roman" w:hAnsi="times new roman" w:cs="times new roman"/>
          <w:b/>
          <w:bCs/>
          <w:i/>
          <w:iCs/>
        </w:rPr>
        <w:t>Remote Hacking and Vehicle Network Exploits</w:t>
      </w:r>
    </w:p>
    <w:p>
      <w:pPr>
        <w:spacing w:before="0" w:after="0" w:line="480" w:lineRule="auto"/>
        <w:jc w:val="left"/>
      </w:pPr>
      <w:r>
        <w:rPr>
          <w:rFonts w:ascii="times new roman" w:eastAsia="times new roman" w:hAnsi="times new roman" w:cs="times new roman"/>
        </w:rPr>
        <w:t>The primary access points for remote threat actors are wireless cellular transceivers, telematics hardware units, and web-connected infotainment systems. If an attacker breaches these external application barriers, they can move laterally into internal vehicular sub-networks. Historically, most standard consumer vehicles transmit internally using the legacy Controller Area Network (CAN) bus standard or automotive Ethernet protocols (Kim et al., 2021).</w:t>
      </w:r>
    </w:p>
    <w:p>
      <w:pPr>
        <w:spacing w:before="0" w:after="0" w:line="480" w:lineRule="auto"/>
        <w:jc w:val="left"/>
      </w:pPr>
      <w:r>
        <w:rPr>
          <w:rFonts w:ascii="times new roman" w:eastAsia="times new roman" w:hAnsi="times new roman" w:cs="times new roman"/>
        </w:rPr>
        <w:t xml:space="preserve">Because the basic CAN protocol was developed decades ago without built-in security considerations, it lacks native data encryption or packet authentication mechanisms. </w:t>
      </w:r>
      <w:r>
        <w:rPr>
          <w:rFonts w:ascii="times new roman" w:eastAsia="times new roman" w:hAnsi="times new roman" w:cs="times new roman"/>
          <w:b/>
          <w:bCs/>
          <w:i/>
          <w:iCs/>
        </w:rPr>
        <w:t>Sensor Spoofing and Perception Manipulation</w:t>
      </w:r>
    </w:p>
    <w:p>
      <w:pPr>
        <w:spacing w:before="0" w:after="0" w:line="480" w:lineRule="auto"/>
        <w:jc w:val="left"/>
      </w:pPr>
      <w:r>
        <w:rPr>
          <w:rFonts w:ascii="times new roman" w:eastAsia="times new roman" w:hAnsi="times new roman" w:cs="times new roman"/>
        </w:rPr>
        <w:t>Beyond typical software exploits, autonomous cars face specific vulnerabilities tied to how their artificial intelligence interprets physical reality. The deep neural networks (DNNs) that power automated driving depend on live data inputs from optical cameras, LiDAR scanners, radar systems, and Global Navigation Satellite Systems (GNSS) (Girdhar et al., 2023). Attackers can compromise these critical inputs by manipulating the physical environment surrounding the vehicle. For instance, carefully designed adversarial images—such as subtle, highly specific sticker configurations placed on a standard stop sign—can deceive computer vision models. This manipulation can cause an image classifier to mistake a critical stop command as a high-speed merge sign in a staggering evaluated scenarios, creating immediate road hazards (Girdhar et al., 2023).</w:t>
      </w:r>
    </w:p>
    <w:p>
      <w:pPr>
        <w:spacing w:before="0" w:after="0" w:line="480" w:lineRule="auto"/>
        <w:jc w:val="left"/>
      </w:pPr>
      <w:r>
        <w:rPr>
          <w:rFonts w:ascii="times new roman" w:eastAsia="times new roman" w:hAnsi="times new roman" w:cs="times new roman"/>
          <w:b/>
          <w:bCs/>
        </w:rPr>
        <w:t>4. Ethics and Legal Issues</w:t>
      </w:r>
    </w:p>
    <w:p>
      <w:pPr>
        <w:spacing w:before="0" w:after="0" w:line="480" w:lineRule="auto"/>
        <w:ind w:firstLine="720"/>
        <w:jc w:val="left"/>
      </w:pPr>
      <w:r>
        <w:rPr>
          <w:rFonts w:ascii="times new roman" w:eastAsia="times new roman" w:hAnsi="times new roman" w:cs="times new roman"/>
        </w:rPr>
        <w:t>Incorporating autonomous AI into unpredictable public spaces raises deep philosophical dilemmas, complicates data privacy, and shifts traditional legal understandings of fault and liability.</w:t>
      </w:r>
    </w:p>
    <w:p>
      <w:pPr>
        <w:spacing w:before="0" w:after="0" w:line="480" w:lineRule="auto"/>
        <w:jc w:val="left"/>
      </w:pPr>
      <w:r>
        <w:rPr>
          <w:rFonts w:ascii="times new roman" w:eastAsia="times new roman" w:hAnsi="times new roman" w:cs="times new roman"/>
          <w:b/>
          <w:bCs/>
          <w:i/>
          <w:iCs/>
        </w:rPr>
        <w:t>Accident Responsibility and Liability Models</w:t>
      </w:r>
    </w:p>
    <w:p>
      <w:pPr>
        <w:spacing w:before="0" w:after="0" w:line="480" w:lineRule="auto"/>
        <w:ind w:firstLine="720"/>
        <w:jc w:val="left"/>
      </w:pPr>
      <w:r>
        <w:rPr>
          <w:rFonts w:ascii="times new roman" w:eastAsia="times new roman" w:hAnsi="times new roman" w:cs="times new roman"/>
        </w:rPr>
        <w:t xml:space="preserve">Historically, automobile accidents have been governed by tort laws centered on human driver negligence. When human operators are replaced by automated software, standard fault models break down, shifting the legal focus toward product liability. This means automotive manufacturers and software engineering firms will bear the main legal and financial burden for accidents. Modern regulations are evolving rapidly to manage this transition: the United Kingdom's Automated Vehicles Act makes certain that third-party victims receive immediate insurance compensation, allowing insurers to recover costs from the automaker later if a system defect is identified. Globally, frameworks like UNECE WP.29 regulations R155 and R156 require manufacturers to prove they have comprehensive Cyber Security Management Systems and secure software update capabilities to achieve vehicle type certification. </w:t>
      </w:r>
    </w:p>
    <w:p>
      <w:pPr>
        <w:spacing w:before="120" w:after="120" w:line="276" w:lineRule="auto"/>
        <w:jc w:val="left"/>
      </w:pPr>
    </w:p>
    <w:p>
      <w:pPr>
        <w:spacing w:before="0" w:after="0" w:line="480" w:lineRule="auto"/>
        <w:jc w:val="left"/>
      </w:pPr>
      <w:r>
        <w:rPr>
          <w:rFonts w:ascii="times new roman" w:eastAsia="times new roman" w:hAnsi="times new roman" w:cs="times new roman"/>
          <w:b/>
          <w:bCs/>
          <w:i/>
          <w:iCs/>
        </w:rPr>
        <w:t>Ethical Decision-Making and Algorithmic Prejudice</w:t>
      </w:r>
    </w:p>
    <w:p>
      <w:pPr>
        <w:spacing w:before="0" w:after="0" w:line="480" w:lineRule="auto"/>
        <w:ind w:firstLine="720"/>
        <w:jc w:val="left"/>
      </w:pPr>
      <w:r>
        <w:rPr>
          <w:rFonts w:ascii="times new roman" w:eastAsia="times new roman" w:hAnsi="times new roman" w:cs="times new roman"/>
        </w:rPr>
        <w:t>Autonomous algorithms bring abstract philosophical dilemmas, like the classic 'trolley problem', into concrete software design, forcing computers to make immediate ethical choices during inevitable accidents. Global legal systems approach these problems through very different cultural lenses: Germany's regulatory guidelines prohibit sacrificing one human life to save others, protecting an absolute right to human dignity under constitutional law. In contrast, United States frameworks and tort structures lean toward utilitarian goals focused on lowering overall traffic injuries and maximizing broad public safety benefits. Beyond collision ethics, developers must actively prevent algorithmic prejudice in machine learning datasets</w:t>
      </w:r>
    </w:p>
    <w:p>
      <w:pPr>
        <w:spacing w:before="0" w:after="0" w:line="480" w:lineRule="auto"/>
        <w:ind w:firstLine="720"/>
        <w:jc w:val="left"/>
      </w:pPr>
      <w:r>
        <w:rPr>
          <w:rFonts w:ascii="times new roman" w:eastAsia="times new roman" w:hAnsi="times new roman" w:cs="times new roman"/>
        </w:rPr>
        <w:t>Beyond emergency decision-making, software developers must actively eliminate computational bias within machine learning training data sets. This helps prevent automated computer vision systems from showing disparities in pedestrian identification rates based on demographic attributes like skin tone or physical stature (Noviati et al., 2024).</w:t>
      </w:r>
    </w:p>
    <w:p>
      <w:pPr>
        <w:spacing w:before="120" w:after="120" w:line="276" w:lineRule="auto"/>
        <w:jc w:val="left"/>
      </w:pPr>
    </w:p>
    <w:p>
      <w:pPr>
        <w:spacing w:before="0" w:after="0" w:line="480" w:lineRule="auto"/>
        <w:jc w:val="left"/>
      </w:pPr>
      <w:r>
        <w:rPr>
          <w:rFonts w:ascii="times new roman" w:eastAsia="times new roman" w:hAnsi="times new roman" w:cs="times new roman"/>
          <w:b/>
          <w:bCs/>
        </w:rPr>
        <w:t>6. Conclusion</w:t>
      </w:r>
    </w:p>
    <w:p>
      <w:pPr>
        <w:spacing w:before="0" w:after="0" w:line="480" w:lineRule="auto"/>
        <w:ind w:firstLine="720"/>
        <w:jc w:val="left"/>
      </w:pPr>
      <w:r>
        <w:rPr>
          <w:rFonts w:ascii="times new roman" w:eastAsia="times new roman" w:hAnsi="times new roman" w:cs="times new roman"/>
        </w:rPr>
        <w:t>Self-driving cars and AI-driven transit networks will thoroughly transform global transport infrastructure, yet their ultimate integration depends heavily on resolving complex technical, ethical, and policy challenges. The considerable safety, environmental, and mobility benefits can only be achieved if automotive developers implement layered defense-in-depth cybersecurity approaches. These security systems have to combine secure boot procedures, hardware roots-of-trust, fully encrypted internal communication techniques, and resilient sensor fusion systems. Ultimately, as driving control shifts from human operators to complex machine learning algorithms, international regulators, software engineers, and legal experts must closely cooperate. This cooperation is important to establish transparent, standardized operating guidelines that build public belief and guarantee a safe transition into an automated transit future.</w:t>
      </w:r>
    </w:p>
    <w:p>
      <w:pPr>
        <w:spacing w:before="120" w:after="120" w:line="276" w:lineRule="auto"/>
        <w:jc w:val="left"/>
      </w:pPr>
    </w:p>
    <w:p>
      <w:pPr>
        <w:spacing w:before="120" w:after="120" w:line="276" w:lineRule="auto"/>
        <w:jc w:val="left"/>
      </w:pPr>
    </w:p>
    <w:p>
      <w:pPr>
        <w:spacing w:before="120" w:after="120" w:line="276" w:lineRule="auto"/>
        <w:jc w:val="left"/>
      </w:pPr>
    </w:p>
    <w:p>
      <w:pPr>
        <w:spacing w:before="0" w:after="0" w:line="480" w:lineRule="auto"/>
        <w:jc w:val="center"/>
      </w:pPr>
      <w:r>
        <w:rPr>
          <w:rFonts w:ascii="times new roman" w:eastAsia="times new roman" w:hAnsi="times new roman" w:cs="times new roman"/>
          <w:b/>
          <w:bCs/>
        </w:rPr>
        <w:t>References</w:t>
      </w:r>
    </w:p>
    <w:p>
      <w:pPr>
        <w:spacing w:before="0" w:after="0" w:line="480" w:lineRule="auto"/>
        <w:ind w:left="720"/>
        <w:jc w:val="left"/>
      </w:pPr>
      <w:r>
        <w:rPr>
          <w:rFonts w:ascii="times new roman" w:eastAsia="times new roman" w:hAnsi="times new roman" w:cs="times new roman"/>
        </w:rPr>
        <w:t xml:space="preserve">Durlik, I., Miller, T., Kostecka, E., Zwierzewicz, Z., &amp; Łobodzińska, A. (2024). Cybersecurity in autonomous vehicles—Are we ready for the challenge? Electronics, 13(13), 2654. </w:t>
      </w:r>
      <w:hyperlink r:id="rId4" w:history="1">
        <w:r>
          <w:rPr>
            <w:rFonts w:ascii="times new roman" w:eastAsia="times new roman" w:hAnsi="times new roman" w:cs="times new roman"/>
            <w:color w:val="0000EE"/>
            <w:u w:val="single" w:color="0000EE"/>
          </w:rPr>
          <w:t>https://doi.org/10.3390/electronics13132654</w:t>
        </w:r>
      </w:hyperlink>
    </w:p>
    <w:p>
      <w:pPr>
        <w:spacing w:before="0" w:after="0" w:line="480" w:lineRule="auto"/>
        <w:ind w:left="720"/>
        <w:jc w:val="left"/>
      </w:pPr>
      <w:r>
        <w:rPr>
          <w:rFonts w:ascii="times new roman" w:eastAsia="times new roman" w:hAnsi="times new roman" w:cs="times new roman"/>
        </w:rPr>
        <w:t xml:space="preserve">Girdhar, M., Hong, J., &amp; Moore, J. (2023). Cybersecurity of autonomous vehicles: A systematic literature review of adversarial attacks and defense models. IEEE Open Journal of Vehicular Technology, 4, 417-437. </w:t>
      </w:r>
      <w:hyperlink r:id="rId5" w:history="1">
        <w:r>
          <w:rPr>
            <w:rFonts w:ascii="times new roman" w:eastAsia="times new roman" w:hAnsi="times new roman" w:cs="times new roman"/>
            <w:color w:val="0000EE"/>
            <w:u w:val="single" w:color="0000EE"/>
          </w:rPr>
          <w:t>https://doi.org/10.1109/ojvt.2023.3265363</w:t>
        </w:r>
      </w:hyperlink>
    </w:p>
    <w:p>
      <w:pPr>
        <w:spacing w:before="0" w:after="0" w:line="480" w:lineRule="auto"/>
        <w:ind w:left="720"/>
        <w:jc w:val="left"/>
      </w:pPr>
      <w:r>
        <w:rPr>
          <w:rFonts w:ascii="times new roman" w:eastAsia="times new roman" w:hAnsi="times new roman" w:cs="times new roman"/>
        </w:rPr>
        <w:t xml:space="preserve">Kim, K., Kim, J. S., Jeong, S., Park, J. H., &amp; Kim, H. K. (2021). Cybersecurity for autonomous vehicles: Review of attacks and defense. Computers &amp; Security, 103, 102150. </w:t>
      </w:r>
      <w:hyperlink r:id="rId6" w:history="1">
        <w:r>
          <w:rPr>
            <w:rFonts w:ascii="times new roman" w:eastAsia="times new roman" w:hAnsi="times new roman" w:cs="times new roman"/>
            <w:color w:val="0000EE"/>
            <w:u w:val="single" w:color="0000EE"/>
          </w:rPr>
          <w:t>https://doi.org/10.1016/j.cose.2020.102150</w:t>
        </w:r>
      </w:hyperlink>
    </w:p>
    <w:p>
      <w:pPr>
        <w:spacing w:before="0" w:after="0" w:line="480" w:lineRule="auto"/>
        <w:ind w:left="720"/>
        <w:jc w:val="left"/>
      </w:pPr>
      <w:r>
        <w:rPr>
          <w:rFonts w:ascii="times new roman" w:eastAsia="times new roman" w:hAnsi="times new roman" w:cs="times new roman"/>
        </w:rPr>
        <w:t xml:space="preserve">Noviati, N. D., Putra, F. E., Sadan, S., Ahsanitaqwim, R., Septiani, N., &amp; Santoso, N. P. L. (2024). Artificial intelligence in autonomous vehicles: Current innovations and future trends. International Journal of Cyber and IT Service Management, 4(2), 97-104. </w:t>
      </w:r>
      <w:hyperlink r:id="rId7" w:history="1">
        <w:r>
          <w:rPr>
            <w:rFonts w:ascii="times new roman" w:eastAsia="times new roman" w:hAnsi="times new roman" w:cs="times new roman"/>
            <w:color w:val="0000EE"/>
            <w:u w:val="single" w:color="0000EE"/>
          </w:rPr>
          <w:t>https://doi.org/10.34306/ijcitsm.v4i2.161</w:t>
        </w:r>
      </w:hyperlink>
    </w:p>
    <w:p>
      <w:pPr>
        <w:spacing w:before="0" w:after="0" w:line="480" w:lineRule="auto"/>
        <w:ind w:left="720"/>
        <w:jc w:val="left"/>
      </w:pPr>
      <w:r>
        <w:rPr>
          <w:rFonts w:ascii="times new roman" w:eastAsia="times new roman" w:hAnsi="times new roman" w:cs="times new roman"/>
        </w:rPr>
        <w:t xml:space="preserve">Rosique, F., Navarro, P. J., Fernández, C., &amp; Padilla, A. (2019). A systematic review of perception system and simulators for autonomous vehicles research. Sensors, 19(3), 648. </w:t>
      </w:r>
      <w:hyperlink r:id="rId8" w:history="1">
        <w:r>
          <w:rPr>
            <w:rFonts w:ascii="times new roman" w:eastAsia="times new roman" w:hAnsi="times new roman" w:cs="times new roman"/>
            <w:color w:val="0000EE"/>
            <w:u w:val="single" w:color="0000EE"/>
          </w:rPr>
          <w:t>https://doi.org/10.3390/s19030648</w:t>
        </w:r>
      </w:hyperlink>
    </w:p>
    <w:p>
      <w:pPr>
        <w:spacing w:before="120" w:after="120" w:line="276" w:lineRule="auto"/>
        <w:jc w:val="left"/>
      </w:pPr>
    </w:p>
    <w:sectPr>
      <w:pgMar w:header="720" w:footer="72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https://doi.org/10.3390/electronics13132654" TargetMode="External" /><Relationship Id="rId5" Type="http://schemas.openxmlformats.org/officeDocument/2006/relationships/hyperlink" Target="https://doi.org/10.1109/ojvt.2023.3265363" TargetMode="External" /><Relationship Id="rId6" Type="http://schemas.openxmlformats.org/officeDocument/2006/relationships/hyperlink" Target="https://doi.org/10.1016/j.cose.2020.102150" TargetMode="External" /><Relationship Id="rId7" Type="http://schemas.openxmlformats.org/officeDocument/2006/relationships/hyperlink" Target="https://doi.org/10.34306/ijcitsm.v4i2.161" TargetMode="External" /><Relationship Id="rId8" Type="http://schemas.openxmlformats.org/officeDocument/2006/relationships/hyperlink" Target="https://doi.org/10.3390/s19030648"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AI_Research_paper</dc:title>
  <cp:revision>0</cp:revision>
</cp:coreProperties>
</file>