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20" w:line="240" w:lineRule="auto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  <w:spacing w:before="0" w:after="20" w:line="240" w:lineRule="auto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0" w:after="20" w:line="240" w:lineRule="auto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не создан — human/Lead gate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Версия и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Источник формы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spacing w:before="0" w:after="20" w:line="240" w:lineRule="auto"/>
            </w:pPr>
            <w:r>
              <w:t>FR-1–FR-4 / security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t>strict JSON, exact handoff, target/provenance and typed outcome rules</w:t>
            </w:r>
          </w:p>
        </w:tc>
        <w:tc>
          <w:tcPr>
            <w:tcW w:w="2828" w:type="dxa"/>
          </w:tcPr>
          <w:p>
            <w:pPr>
              <w:spacing w:before="0" w:after="20" w:line="240" w:lineRule="auto"/>
            </w:pPr>
            <w:r>
              <w:t>requirements.md, security-baseline.md, BP004/T013 projection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spacing w:before="0" w:after="20" w:line="240" w:lineRule="auto"/>
            </w:pPr>
            <w:r>
              <w:t>TD-1/TD-2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t>equivalence partitions and boundary-value analysis</w:t>
            </w:r>
          </w:p>
        </w:tc>
        <w:tc>
          <w:tcPr>
            <w:tcW w:w="2044" w:type="dxa"/>
          </w:tcPr>
          <w:p>
            <w:pPr>
              <w:spacing w:before="0" w:after="20" w:line="240" w:lineRule="auto"/>
            </w:pPr>
            <w:r>
              <w:t>aliases/duplicates/Unicode/controls; 32KiB escaped projection, 36KiB rendered block; six DI cases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t>go test ./...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t>typed PASS/FAIL/Incomplete/Unknown assertions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pPr>
              <w:spacing w:before="0" w:after="20" w:line="240" w:lineRule="auto"/>
            </w:pPr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spacing w:before="0" w:after="20" w:line="240" w:lineRule="auto"/>
            </w:pPr>
            <w:r>
              <w:t>R-001</w:t>
            </w:r>
          </w:p>
        </w:tc>
        <w:tc>
          <w:tcPr>
            <w:tcW w:w="1585" w:type="dxa"/>
          </w:tcPr>
          <w:p>
            <w:pPr>
              <w:spacing w:before="0" w:after="20" w:line="240" w:lineRule="auto"/>
            </w:pPr>
            <w:r>
              <w:t>Malformed JSON/handoff → false match</w:t>
            </w:r>
          </w:p>
        </w:tc>
        <w:tc>
          <w:tcPr>
            <w:tcW w:w="2061" w:type="dxa"/>
          </w:tcPr>
          <w:p>
            <w:pPr>
              <w:spacing w:before="0" w:after="20" w:line="240" w:lineRule="auto"/>
            </w:pPr>
            <w:r>
              <w:t>Medium: untrusted saved evidence</w:t>
            </w:r>
          </w:p>
        </w:tc>
        <w:tc>
          <w:tcPr>
            <w:tcW w:w="1585" w:type="dxa"/>
          </w:tcPr>
          <w:p>
            <w:pPr>
              <w:spacing w:before="0" w:after="20" w:line="240" w:lineRule="auto"/>
            </w:pPr>
            <w:r>
              <w:t>High: wrong delivery decision</w:t>
            </w:r>
          </w:p>
        </w:tc>
        <w:tc>
          <w:tcPr>
            <w:tcW w:w="1031" w:type="dxa"/>
          </w:tcPr>
          <w:p>
            <w:pPr>
              <w:spacing w:before="0" w:after="20" w:line="240" w:lineRule="auto"/>
            </w:pPr>
            <w:r>
              <w:t>High</w:t>
            </w:r>
          </w:p>
        </w:tc>
        <w:tc>
          <w:tcPr>
            <w:tcW w:w="2061" w:type="dxa"/>
          </w:tcPr>
          <w:p>
            <w:pPr>
              <w:spacing w:before="0" w:after="20" w:line="240" w:lineRule="auto"/>
            </w:pPr>
            <w:r>
              <w:t>strict parser tests every change; residual Low locally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t>R-002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t>Retrieval error → duplicate effect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t>Low: guarded consumer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t>High: possible external duplicate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t>FileReader/consumer error test every change; residual Medium live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t>R-003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t>Relabelled target → wrong confirmation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t>Medium: file input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t>High: wrong task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t>target/provenance DI test every change;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t>R-004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t>NUL/control input → ambiguous evidence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t>Medium before fix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t>Medium: unsafe text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t>control regression every change;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t>R-005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t>Escaping bypasses context budget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t>Medium: quote-heavy input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t>High: oversized evidence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t>JCS byte boundary every change; residual Low locally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t>R-006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t>Normalization changes spaces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t>Low: narrow normalizer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t>Medium: false match/mismatch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t>Medium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t>NFC/CRLF/space regression;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t>R-007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t>Human placeholder treated as PASS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t>High: manual workflow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t>Medium: provenance error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t>report audit per submission; residual Medium until human gate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t>Рисунок 1 — Локальный прогон тестов собственного модуля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spacing w:before="0" w:after="20" w:line="240" w:lineRule="auto"/>
            </w:pPr>
            <w:r>
              <w:t>T-JSON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t>strict parser boundaries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t>go test ./...</w:t>
            </w:r>
          </w:p>
        </w:tc>
        <w:tc>
          <w:tcPr>
            <w:tcW w:w="2294" w:type="dxa"/>
          </w:tcPr>
          <w:p>
            <w:pPr>
              <w:spacing w:before="0" w:after="20" w:line="240" w:lineRule="auto"/>
            </w:pPr>
            <w:r>
              <w:t>PASS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t>review_regressions_test.go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t>T-DI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6 DI scenarios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go test ./internal/adapters/fixtures/targetreader -run TestFileReaderAndDoubleShareVerifyTargetContract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di_contract_test.go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t>T-VET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static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go vet ./...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HIT-47-go-vet.log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t>T-RACE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race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CGO_ENABLED=1 go test -race ./...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t>Рисунок 3 — Покрытие собственного модуля и разбор пробела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spacing w:before="0" w:after="20" w:line="240" w:lineRule="auto"/>
            </w:pPr>
            <w:r>
              <w:t>Domain/readback 74.7%; application 77.8%; FileReader 63.2%; CLI 0.0%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t>CLI is thin composition root; provider I/O and human gates are outside automated coverage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t>Keep CLI smoke; add semantic tests at domain/application/adapter boundaries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t>Исходный корректный код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bafc97a0eb5cc2b2aba68c04a74b179b61432d82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all local named tests PASS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t>Код с дефектом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five one-at-a-time compiling mutants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each assertion FAIL; no compile failure counted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t>Восстановленный код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bafc97a0eb5cc2b2aba68c04a74b179b61432d82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full restored suite PASS; race/vet/smoke rerun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t>Рисунок 4 — Обнаружение одного из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pPr>
              <w:spacing w:before="0" w:after="20" w:line="240" w:lineRule="auto"/>
            </w:pPr>
            <w:r>
              <w:t>ID и patch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Компилируется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Тест и первый результат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Обнаружен / пропущен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Причина пропуска и усиление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t>M1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remove retrieval guard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TestCompareIncompleteAndUnknownPrecedence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unknown precedence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t>M2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change malformed handoff outcome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canonical handoff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incomplete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t>M3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remove title mismatch guard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field mismatch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title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t>M4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skip title UTF-8 validation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invalid UTF-8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unknown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t>M5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remove assignee comparison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assignee mismatch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configured assignee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spacing w:before="0" w:after="20" w:line="240" w:lineRule="auto"/>
            </w:pPr>
            <w:r>
              <w:t>System of checks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t>two test-design techniques; 7-risk matrix; 5 compiling behavioral mutations; local/CI/race/vet/smoke evidence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t>Мутация и восстановление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0" w:after="20" w:line="240" w:lineRule="auto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PowerShell. Шаг 2: выполните Set-Location C:\projects\hitpipe\services\delivery. Шаг 3: по очереди выполните go test ./..., go vet ./..., $env:CGO_ENABLED='1'; go test -race ./... . Шаг 4: дождитесь строк ok и отсутствия ошибок. Снимите команды и итоговый вывод. Сохраните как 0302-pz02-fig01.png. Подпись: «Локальный прогон тестов собственного модуля».</w:t>
      </w:r>
    </w:p>
    <w:p>
      <w:r>
        <w:t>Рисунок 2. Шаг 1: откройте https://github.com/hitpipe/hitpipe/actions/runs/39279704440. Шаг 2: дождитесь загрузки страницы. Шаг 3: проверьте, что вверху указан нужный commit и рядом стоит зелёная отметка Success. Шаг 4: снимите название запуска, commit и зелёный статус. Сохраните как 0302-pz02-fig02.png. Подпись: «Тесты сдаваемой версии в CI».</w:t>
      </w:r>
    </w:p>
    <w:p>
      <w:r>
        <w:t>Рисунок 3. Шаг 1: откройте PowerShell в папке C:\projects\hitpipe\services\delivery. Шаг 2: выполните go test ./... -coverprofile=coverage.out . Шаг 3: выполните go tool cover -func=coverage.out . Шаг 4: найдите таблицу с именами функций и процентами покрытия. Снимите таблицу и строку с наименьшим покрытием. Сохраните как 0302-pz02-fig03.png. Подпись: «Покрытие собственного модуля и разбор пробела».</w:t>
      </w:r>
    </w:p>
    <w:p>
      <w:r>
        <w:t>Рисунок 4. Шаг 1: откройте PowerShell в корне C:\projects\hitpipe. Шаг 2: выполните powershell -ExecutionPolicy Bypass -File .\docs\labs\pr12\ds\run_mutations.ps1 . Шаг 3: дождитесь завершения серии. Шаг 4: откройте журнал, найдите один мутант со статусом detected и строку теста, который его обнаружил. Снимите имя мутанта, статус и тест. Сохраните как 0302-pz02-fig04.png. Подпись: «Обнаружение одного из заявленных дефектов».</w:t>
      </w:r>
    </w:p>
    <w:p>
      <w:r>
        <w:t>Рисунок 5. Шаг 1: после завершения мутаций выполните в PowerShell Set-Location C:\projects\hitpipe\services\delivery, затем go test ./... . Шаг 2: откройте https://github.com/hitpipe/hitpipe/actions/runs/39279704440. Шаг 3: убедитесь, что локальный тест завершился строкой ok, а CI имеет зелёный статус Success. Шаг 4: снимите оба результата. Сохраните как 0302-pz02-fig05.png. Подпись: «Успешный прогон после полного восстановления кода».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