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Модульная архитектура TargetReadback</w:t>
      </w:r>
    </w:p>
    <w:p>
      <w:r>
        <w:rPr>
          <w:b/>
          <w:color w:val="464646"/>
        </w:rPr>
        <w:t>МДК01.04 ПР2 | автор Дмитрий Стацюк | module map и ADR</w:t>
      </w:r>
    </w:p>
    <w:p>
      <w:r>
        <w:t>Статус документа: CONTENT_READY_IMAGES_PENDING. Текстовые и командные evidence включены; human review, merge, взаимные проверки и защита не имитируются.</w:t>
      </w:r>
    </w:p>
    <w:p>
      <w:pPr>
        <w:pStyle w:val="Heading1"/>
      </w:pPr>
      <w:r>
        <w:t>Архитектурное решение</w:t>
      </w:r>
    </w:p>
    <w:p>
      <w:r>
        <w:t>TargetReadback разделён на domain comparator, application VerifyTarget и adapter TargetReader. Domain не читает файлы и не знает о provider transport; file IO находится в CLI/fixture adapter. Это решение закреплено в implementation-adr.md.</w:t>
      </w:r>
    </w:p>
    <w:p>
      <w:pPr>
        <w:pStyle w:val="Heading1"/>
      </w:pPr>
      <w:r>
        <w:t>Карта модулей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blHeader w:val="true"/>
        </w:trPr>
        <w:tc>
          <w:tcPr>
            <w:tcW w:type="dxa" w:w="1728"/>
            <w:shd w:fill="1F4E7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b/>
                <w:color w:val="FFFFFF"/>
                <w:sz w:val="18"/>
              </w:rPr>
              <w:t>Слой</w:t>
            </w:r>
          </w:p>
        </w:tc>
        <w:tc>
          <w:tcPr>
            <w:tcW w:type="dxa" w:w="4608"/>
            <w:shd w:fill="1F4E7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b/>
                <w:color w:val="FFFFFF"/>
                <w:sz w:val="18"/>
              </w:rPr>
              <w:t>Ответственность</w:t>
            </w:r>
          </w:p>
        </w:tc>
        <w:tc>
          <w:tcPr>
            <w:tcW w:type="dxa" w:w="3456"/>
            <w:shd w:fill="1F4E7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b/>
                <w:color w:val="FFFFFF"/>
                <w:sz w:val="18"/>
              </w:rPr>
              <w:t>Зависимости</w:t>
            </w:r>
          </w:p>
        </w:tc>
      </w:tr>
      <w:tr>
        <w:tc>
          <w:tcPr>
            <w:tcW w:type="dxa" w:w="172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Domain</w:t>
            </w:r>
          </w:p>
        </w:tc>
        <w:tc>
          <w:tcPr>
            <w:tcW w:type="dxa" w:w="4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Expected/Observation, normalization, comparison outcomes</w:t>
            </w:r>
          </w:p>
        </w:tc>
        <w:tc>
          <w:tcPr>
            <w:tcW w:type="dxa" w:w="345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только стандартная библиотека и x/text</w:t>
            </w:r>
          </w:p>
        </w:tc>
      </w:tr>
      <w:tr>
        <w:tc>
          <w:tcPr>
            <w:tcW w:type="dxa" w:w="1728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Application</w:t>
            </w:r>
          </w:p>
        </w:tc>
        <w:tc>
          <w:tcPr>
            <w:tcW w:type="dxa" w:w="4608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VerifyTarget orchestration and provenance</w:t>
            </w:r>
          </w:p>
        </w:tc>
        <w:tc>
          <w:tcPr>
            <w:tcW w:type="dxa" w:w="3456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TargetReader interface + domain</w:t>
            </w:r>
          </w:p>
        </w:tc>
      </w:tr>
      <w:tr>
        <w:tc>
          <w:tcPr>
            <w:tcW w:type="dxa" w:w="172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Adapter</w:t>
            </w:r>
          </w:p>
        </w:tc>
        <w:tc>
          <w:tcPr>
            <w:tcW w:type="dxa" w:w="4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Saved observation reader and file IO</w:t>
            </w:r>
          </w:p>
        </w:tc>
        <w:tc>
          <w:tcPr>
            <w:tcW w:type="dxa" w:w="345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os/filesystem at boundary</w:t>
            </w:r>
          </w:p>
        </w:tc>
      </w:tr>
      <w:tr>
        <w:tc>
          <w:tcPr>
            <w:tcW w:type="dxa" w:w="1728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CLI</w:t>
            </w:r>
          </w:p>
        </w:tc>
        <w:tc>
          <w:tcPr>
            <w:tcW w:type="dxa" w:w="4608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flags, read fixture, JSON output, exit codes</w:t>
            </w:r>
          </w:p>
        </w:tc>
        <w:tc>
          <w:tcPr>
            <w:tcW w:type="dxa" w:w="3456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adapter boundary + application/domain</w:t>
            </w:r>
          </w:p>
        </w:tc>
      </w:tr>
    </w:tbl>
    <w:p/>
    <w:p>
      <w:pPr>
        <w:pStyle w:val="Heading1"/>
      </w:pPr>
      <w:r>
        <w:t>ADR decision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blHeader w:val="true"/>
        </w:trPr>
        <w:tc>
          <w:tcPr>
            <w:tcW w:type="dxa" w:w="2016"/>
            <w:shd w:fill="1F4E7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b/>
                <w:color w:val="FFFFFF"/>
                <w:sz w:val="18"/>
              </w:rPr>
              <w:t>Decision</w:t>
            </w:r>
          </w:p>
        </w:tc>
        <w:tc>
          <w:tcPr>
            <w:tcW w:type="dxa" w:w="4032"/>
            <w:shd w:fill="1F4E7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b/>
                <w:color w:val="FFFFFF"/>
                <w:sz w:val="18"/>
              </w:rPr>
              <w:t>Choice</w:t>
            </w:r>
          </w:p>
        </w:tc>
        <w:tc>
          <w:tcPr>
            <w:tcW w:type="dxa" w:w="3744"/>
            <w:shd w:fill="1F4E7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b/>
                <w:color w:val="FFFFFF"/>
                <w:sz w:val="18"/>
              </w:rPr>
              <w:t>Reason</w:t>
            </w:r>
          </w:p>
        </w:tc>
      </w:tr>
      <w:tr>
        <w:tc>
          <w:tcPr>
            <w:tcW w:type="dxa" w:w="201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Read boundary</w:t>
            </w:r>
          </w:p>
        </w:tc>
        <w:tc>
          <w:tcPr>
            <w:tcW w:type="dxa" w:w="403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consumer-owned TargetReader</w:t>
            </w:r>
          </w:p>
        </w:tc>
        <w:tc>
          <w:tcPr>
            <w:tcW w:type="dxa" w:w="37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application controls evidence provenance</w:t>
            </w:r>
          </w:p>
        </w:tc>
      </w:tr>
      <w:tr>
        <w:tc>
          <w:tcPr>
            <w:tcW w:type="dxa" w:w="2016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Failure semantics</w:t>
            </w:r>
          </w:p>
        </w:tc>
        <w:tc>
          <w:tcPr>
            <w:tcW w:type="dxa" w:w="4032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unknown for retrieval failure</w:t>
            </w:r>
          </w:p>
        </w:tc>
        <w:tc>
          <w:tcPr>
            <w:tcW w:type="dxa" w:w="3744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prevents false confirmation</w:t>
            </w:r>
          </w:p>
        </w:tc>
      </w:tr>
      <w:tr>
        <w:tc>
          <w:tcPr>
            <w:tcW w:type="dxa" w:w="201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Normalization</w:t>
            </w:r>
          </w:p>
        </w:tc>
        <w:tc>
          <w:tcPr>
            <w:tcW w:type="dxa" w:w="403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NFC + CRLF, bounded context</w:t>
            </w:r>
          </w:p>
        </w:tc>
        <w:tc>
          <w:tcPr>
            <w:tcW w:type="dxa" w:w="37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deterministic comparison without fuzzy matching</w:t>
            </w:r>
          </w:p>
        </w:tc>
      </w:tr>
      <w:tr>
        <w:tc>
          <w:tcPr>
            <w:tcW w:type="dxa" w:w="2016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Side effects</w:t>
            </w:r>
          </w:p>
        </w:tc>
        <w:tc>
          <w:tcPr>
            <w:tcW w:type="dxa" w:w="4032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no provider writes/retry</w:t>
            </w:r>
          </w:p>
        </w:tc>
        <w:tc>
          <w:tcPr>
            <w:tcW w:type="dxa" w:w="3744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keeps verifier observational</w:t>
            </w:r>
          </w:p>
        </w:tc>
      </w:tr>
    </w:tbl>
    <w:p/>
    <w:p>
      <w:pPr>
        <w:pStyle w:val="Heading1"/>
      </w:pPr>
      <w:r>
        <w:t>Candidate status</w:t>
      </w:r>
    </w:p>
    <w:p>
      <w:r>
        <w:t>PR #27 is an open candidate. The module map and ADR are available for independent review, but no human approval, merge, or final acceptance is claimed.</w:t>
      </w:r>
    </w:p>
    <w:sectPr w:rsidR="00FC693F" w:rsidRPr="0006063C" w:rsidSect="00034616">
      <w:footerReference w:type="default" r:id="rId9"/>
      <w:pgSz w:w="12240" w:h="15840"/>
      <w:pgMar w:top="1008" w:right="1152" w:bottom="936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464"/>
        <w:sz w:val="16"/>
      </w:rPr>
      <w:t>HitPipe | MANUAL_LAB_PR12 | Дмитрий Стацюк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