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и регламент TargetReadback</w:t>
      </w:r>
    </w:p>
    <w:p>
      <w:r>
        <w:rPr>
          <w:b/>
          <w:color w:val="464646"/>
        </w:rPr>
        <w:t>МДК03.02 ПР1 | автор Дмитрий Стацюк | HIT-14 / HIT-41–HIT-46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Назначение и вывод</w:t>
      </w:r>
    </w:p>
    <w:p>
      <w:r>
        <w:t>Работа выполнена в ручном режиме MANUAL_LAB_PR12. Исходные product/architecture materials остаются Candidate/In Review. Отчёт фиксирует проверяемые требования собственного участка TargetReadback: сравнение ожидаемого состояния с retrieved observation и безопасная обработка неопределённости. Результат готов по содержанию, но не заменяет интервью и human acceptance.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Область</w:t>
            </w:r>
          </w:p>
        </w:tc>
        <w:tc>
          <w:tcPr>
            <w:tcW w:type="dxa" w:w="518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Фактическая формулировка</w:t>
            </w:r>
          </w:p>
        </w:tc>
        <w:tc>
          <w:tcPr>
            <w:tcW w:type="dxa" w:w="230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Oracle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Ожидание и observation совпадают по Workspace, List, title, assignee и единственному handoff block.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outcome=match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Error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Любое существенное несовпадение обязательного поля даёт mismatch.</w:t>
            </w:r>
          </w:p>
        </w:tc>
        <w:tc>
          <w:tcPr>
            <w:tcW w:type="dxa" w:w="230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outcome=mismatch + reason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Incomplete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Missing retrieval, неполная запись или несколько delimiter pairs не подтверждают доставку.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outcome=incomplete или unknown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NFR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Сравнение нормализует NFC и CRLF, ограничивает размер контекста и не выполняет provider writes/retry.</w:t>
            </w:r>
          </w:p>
        </w:tc>
        <w:tc>
          <w:tcPr>
            <w:tcW w:type="dxa" w:w="230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детерминированный результат</w:t>
            </w:r>
          </w:p>
        </w:tc>
      </w:tr>
    </w:tbl>
    <w:p/>
    <w:p>
      <w:pPr>
        <w:pStyle w:val="Heading1"/>
      </w:pPr>
      <w:r>
        <w:t>Источники и ограничения</w:t>
      </w:r>
    </w:p>
    <w:p>
      <w:r>
        <w:t>Трассировка: HIT-41 requirements baseline, HIT-42 refinement, HIT-43 comparator, HIT-44 VerifyTarget, HIT-45 defect guards, HIT-46 module ADR.</w:t>
      </w:r>
    </w:p>
    <w:p>
      <w:r>
        <w:t>R1 commit 0fb84594b18d1f8855f38761331b2ce79d16a97e не подтверждён через GitHub API; этот факт остаётся открытым dependency gap.</w:t>
      </w:r>
    </w:p>
    <w:p>
      <w:r>
        <w:t>Synthetic fixtures не являются доказательством реального ClickUp GET, permissions, provider state transition или внешнего transport effect.</w:t>
      </w:r>
    </w:p>
    <w:p>
      <w:pPr>
        <w:pStyle w:val="Heading1"/>
      </w:pPr>
      <w:r>
        <w:t>Матрица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10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5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  <w:tc>
          <w:tcPr>
            <w:tcW w:type="dxa" w:w="216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REQ-01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Exact field comparison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readback.go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C1 tests + GitHub Actions</w:t>
            </w:r>
          </w:p>
        </w:tc>
      </w:tr>
      <w:tr>
        <w:tc>
          <w:tcPr>
            <w:tcW w:type="dxa" w:w="10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REQ-02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Unknown precedence on missing retrieval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readback.go / C3 tests</w:t>
            </w:r>
          </w:p>
        </w:tc>
        <w:tc>
          <w:tcPr>
            <w:tcW w:type="dxa" w:w="216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C3 guards + race test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REQ-03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Consumer-owned read adapter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verifytarget.go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C2 tests</w:t>
            </w:r>
          </w:p>
        </w:tc>
      </w:tr>
      <w:tr>
        <w:tc>
          <w:tcPr>
            <w:tcW w:type="dxa" w:w="10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REQ-04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 writes/retry/state mutation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module-contract.md</w:t>
            </w:r>
          </w:p>
        </w:tc>
        <w:tc>
          <w:tcPr>
            <w:tcW w:type="dxa" w:w="216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 import rules + ADR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REQ-05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CLI version/config/fixture smoke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delivery-contractcheck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dev/release smoke</w:t>
            </w:r>
          </w:p>
        </w:tc>
      </w:tr>
    </w:tbl>
    <w:p/>
    <w:p>
      <w:pPr>
        <w:pStyle w:val="Heading1"/>
      </w:pPr>
      <w:r>
        <w:t>Незакрытые действия</w:t>
      </w:r>
    </w:p>
    <w:p>
      <w:pPr>
        <w:pStyle w:val="ListBullet"/>
      </w:pPr>
      <w:r>
        <w:t>Провести реальное интервью и blind clarity check в H1.</w:t>
      </w:r>
    </w:p>
    <w:p>
      <w:pPr>
        <w:pStyle w:val="ListBullet"/>
      </w:pPr>
      <w:r>
        <w:t>Получить независимый review и merge PR #23–#27.</w:t>
      </w:r>
    </w:p>
    <w:p>
      <w:pPr>
        <w:pStyle w:val="ListBullet"/>
      </w:pPr>
      <w:r>
        <w:t>Подтвердить или восстановить R1 upstream evidence.</w:t>
      </w:r>
    </w:p>
    <w:p>
      <w:pPr>
        <w:pStyle w:val="ListBullet"/>
      </w:pPr>
      <w:r>
        <w:t>После human gates обновить статус и итоговую submission record.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