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Проверка выполняется по отдельной учебной процедуре.. Модульная карта Проверка выполняется по отдельной учебной процедуре.;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Часть контракта</w:t>
            </w:r>
          </w:p>
        </w:tc>
        <w:tc>
          <w:tcPr>
            <w:tcW w:type="dxa" w:w="4677"/>
          </w:tcPr>
          <w:p>
            <w:r>
              <w:t>Решение и источник</w:t>
            </w:r>
          </w:p>
        </w:tc>
      </w:tr>
      <w:tr>
        <w:tc>
          <w:tcPr>
            <w:tcW w:type="dxa" w:w="4677"/>
          </w:tcPr>
          <w:p>
            <w:r>
              <w:t>Назначение и публичная операция</w:t>
            </w:r>
          </w:p>
        </w:tc>
        <w:tc>
          <w:tcPr>
            <w:tcW w:type="dxa" w:w="4677"/>
          </w:tcPr>
          <w:p>
            <w:r>
              <w:t>VerifyTarget compares one requested target through consumer-owned TargetReader; services/delivery/internal/application/verifytarget/verifytarget.go</w:t>
            </w:r>
          </w:p>
        </w:tc>
      </w:tr>
      <w:tr>
        <w:tc>
          <w:tcPr>
            <w:tcW w:type="dxa" w:w="4677"/>
          </w:tcPr>
          <w:p>
            <w:r>
              <w:t>Допустимые входы и предусловия</w:t>
            </w:r>
          </w:p>
        </w:tc>
        <w:tc>
          <w:tcPr>
            <w:tcW w:type="dxa" w:w="4677"/>
          </w:tcPr>
          <w:p>
            <w:r>
              <w:t>non-empty target ID; Expected projection; FileReader strict JSON or test double with target/provenance; requirements.md FR-1–FR-4</w:t>
            </w:r>
          </w:p>
        </w:tc>
      </w:tr>
      <w:tr>
        <w:tc>
          <w:tcPr>
            <w:tcW w:type="dxa" w:w="4677"/>
          </w:tcPr>
          <w:p>
            <w:r>
              <w:t>Результат и постусловия</w:t>
            </w:r>
          </w:p>
        </w:tc>
        <w:tc>
          <w:tcPr>
            <w:tcW w:type="dxa" w:w="4677"/>
          </w:tcPr>
          <w:p>
            <w:r>
              <w:t>typed match/mismatch/incomplete/unknown Result plus target and provenance; no write/retry/provider side effect</w:t>
            </w:r>
          </w:p>
        </w:tc>
      </w:tr>
      <w:tr>
        <w:tc>
          <w:tcPr>
            <w:tcW w:type="dxa" w:w="4677"/>
          </w:tcPr>
          <w:p>
            <w: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r>
              <w:t>read/provenance failure→unknown; invalid/empty structure→incomplete; field difference→mismatch; match only after every guard</w:t>
            </w:r>
          </w:p>
        </w:tc>
      </w:tr>
      <w:tr>
        <w:tc>
          <w:tcPr>
            <w:tcW w:type="dxa" w:w="4677"/>
          </w:tcPr>
          <w:p>
            <w: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r>
              <w:t>consumer owns TargetReader port; adapter owns saved observation decode; result owns no mutable provider state; source/time provenance required</w:t>
            </w:r>
          </w:p>
        </w:tc>
      </w:tr>
      <w:tr>
        <w:tc>
          <w:tcPr>
            <w:tcW w:type="dxa" w:w="4677"/>
          </w:tcPr>
          <w:p>
            <w: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r>
              <w:t>read-only observation; no network, DB, retry, message, or state transition; live authority and permissions are outside offline slice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r>
              <w:t>Сценарий и результат</w:t>
            </w:r>
          </w:p>
        </w:tc>
        <w:tc>
          <w:tcPr>
            <w:tcW w:type="dxa" w:w="2339"/>
          </w:tcPr>
          <w:p>
            <w: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FileReader normal: Match; saved target/source/time accepted; log di-contract</w:t>
            </w:r>
          </w:p>
        </w:tc>
        <w:tc>
          <w:tcPr>
            <w:tcW w:type="dxa" w:w="2339"/>
          </w:tcPr>
          <w:p>
            <w: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test double normal: Match; same VerifyTarget call and same expected projection</w:t>
            </w:r>
          </w:p>
        </w:tc>
        <w:tc>
          <w:tcPr>
            <w:tcW w:type="dxa" w:w="2339"/>
          </w:tcPr>
          <w:p>
            <w:r>
              <w:t>no final merge or external review</w:t>
            </w:r>
          </w:p>
        </w:tc>
      </w:tr>
    </w:tbl>
    <w:p>
      <w:r>
        <w:t>Доказательство неизменности потребителя bafc97a0eb5cc2b2aba68c04a74b179b61432d82;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Проверка выполняется по отдельной учебной процедуре.;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Направление</w:t>
            </w:r>
          </w:p>
        </w:tc>
        <w:tc>
          <w:tcPr>
            <w:tcW w:type="dxa" w:w="2339"/>
          </w:tcPr>
          <w:p>
            <w:r>
              <w:t>Свой объект</w:t>
            </w:r>
          </w:p>
        </w:tc>
        <w:tc>
          <w:tcPr>
            <w:tcW w:type="dxa" w:w="2339"/>
          </w:tcPr>
          <w:p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r>
              <w:t>Текущая готовность</w:t>
            </w:r>
          </w:p>
        </w:tc>
      </w:tr>
      <w:tr>
        <w:tc>
          <w:tcPr>
            <w:tcW w:type="dxa" w:w="2339"/>
          </w:tcPr>
          <w:p>
            <w:r>
              <w:t>domain → application via typed result</w:t>
            </w:r>
          </w:p>
        </w:tc>
        <w:tc>
          <w:tcPr>
            <w:tcW w:type="dxa" w:w="2339"/>
          </w:tcPr>
          <w:p>
            <w:r>
              <w:t>domain/readback → application/verifytarget → TargetReader; module-map.md and real imports; status implemented</w:t>
            </w:r>
          </w:p>
        </w:tc>
        <w:tc>
          <w:tcPr>
            <w:tcW w:type="dxa" w:w="2339"/>
          </w:tcPr>
          <w:p>
            <w:r>
              <w:t>Expected/Observation projections; no provider schema rewrite; status implemented</w:t>
            </w:r>
          </w:p>
        </w:tc>
        <w:tc>
          <w:tcPr>
            <w:tcW w:type="dxa" w:w="2339"/>
          </w:tcPr>
          <w:p>
            <w:r>
              <w:t>unknown; explicit</w:t>
            </w:r>
          </w:p>
        </w:tc>
      </w:tr>
      <w:tr>
        <w:tc>
          <w:tcPr>
            <w:tcW w:type="dxa" w:w="2339"/>
          </w:tcPr>
          <w:p>
            <w:r>
              <w:t>application → TargetReader via consumer-owned interface</w:t>
            </w:r>
          </w:p>
        </w:tc>
        <w:tc>
          <w:tcPr>
            <w:tcW w:type="dxa" w:w="2339"/>
          </w:tcPr>
          <w:p>
            <w:r>
              <w:t>Проверка выполняется по отдельной учебной процедуре.</w:t>
            </w:r>
          </w:p>
        </w:tc>
        <w:tc>
          <w:tcPr>
            <w:tcW w:type="dxa" w:w="2339"/>
          </w:tcPr>
          <w:p>
            <w:r>
              <w:t>Can the verifier write or retry?</w:t>
            </w:r>
          </w:p>
        </w:tc>
        <w:tc>
          <w:tcPr>
            <w:tcW w:type="dxa" w:w="2339"/>
          </w:tcPr>
          <w:p>
            <w: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Проверка выполняется по отдельной учебной процедуре.: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Случай</w:t>
            </w:r>
          </w:p>
        </w:tc>
        <w:tc>
          <w:tcPr>
            <w:tcW w:type="dxa" w:w="2339"/>
          </w:tcPr>
          <w:p>
            <w:r>
              <w:t>Ожидаемый по контракту результат</w:t>
            </w:r>
          </w:p>
        </w:tc>
        <w:tc>
          <w:tcPr>
            <w:tcW w:type="dxa" w:w="2339"/>
          </w:tcPr>
          <w:p>
            <w: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FileReader saved JSON; target-1; source fixture-file; observed_at RFC3339; di_contract_test.go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1,000-character Context and matching rendered block; FileReader boundary.json; di_contract_test.go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Unknown</w:t>
            </w:r>
          </w:p>
        </w:tc>
        <w:tc>
          <w:tcPr>
            <w:tcW w:type="dxa" w:w="2339"/>
          </w:tcPr>
          <w:p>
            <w:r>
              <w:t>missing saved JSON path; FileReader returns os error; VerifyTarget preserves unknown</w:t>
            </w:r>
          </w:p>
        </w:tc>
      </w:tr>
      <w:tr>
        <w:tc>
          <w:tcPr>
            <w:tcW w:type="dxa" w:w="2339"/>
          </w:tcPr>
          <w:p>
            <w:r>
              <w:t>test TargetReader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doubleReader returns normal observation + non-zero provenance; unchanged consumer</w:t>
            </w:r>
          </w:p>
        </w:tc>
      </w:tr>
      <w:tr>
        <w:tc>
          <w:tcPr>
            <w:tcW w:type="dxa" w:w="2339"/>
          </w:tcPr>
          <w:p>
            <w:r>
              <w:t>test TargetReader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doubleReader returns quote-safe 1,000-character context and matching expected; distinct input</w:t>
            </w:r>
          </w:p>
        </w:tc>
      </w:tr>
      <w:tr>
        <w:tc>
          <w:tcPr>
            <w:tcW w:type="dxa" w:w="2339"/>
          </w:tcPr>
          <w:p>
            <w:r>
              <w:t>test TargetReader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Unknown</w:t>
            </w:r>
          </w:p>
        </w:tc>
        <w:tc>
          <w:tcPr>
            <w:tcW w:type="dxa" w:w="2339"/>
          </w:tcPr>
          <w:p>
            <w:r>
              <w:t>doubleReader returns os.ErrNotExist; consumer maps read error to unknown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Проверка по H1 выполняется отдельно., commit NOT APPLICABLE — H1, команды сборки, штатный/граничный/ошибочный случаи, подмена и сверка карты Проверка выполняется по отдельной учебной процедуре.. Замечания и повторная проверка после исправлений Проверка выполняется по отдельной учебной процедуре.. Реальная проверка другим студентом, без имитации self-review. Рисунок 6.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pPr>
        <w:pStyle w:val="afa"/>
      </w:pPr>
      <w:r>
        <w:t>Рисунок 1 — Публичный контракт и существенная реализация</w:t>
      </w:r>
    </w:p>
    <w:p>
      <w:r>
        <w:t>[ВСТАВИТЬ РЕАЛЬНОЕ ИЗОБРАЖЕНИЕ ВРУЧНУЮ: 0104-pz02-01.png]</w:t>
      </w:r>
    </w:p>
    <w:p>
      <w:r>
        <w:t>Что открыть/выполнить: Открыть https://github.com/hitpipe/hitpipe/blob/bafc97a0eb5cc2b2aba68c04a74b179b61432d82/services/delivery/internal/domain/readback/readback.go#L1-L220 и services/delivery/docs/module-contract.md. Показать публичную операцию, часть собственной реализации и определённые вход/выход/ошибки; указать версию.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docs/labs/pr12/ds/evidence/screenshots/0104-pz02-01.png. Подпись: «Рисунок 1 — Публичный контракт и существенная реализация».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Документация модуля по стандарту стека</w:t>
      </w:r>
    </w:p>
    <w:p>
      <w:r>
        <w:t>[ВСТАВИТЬ РЕАЛЬНОЕ ИЗОБРАЖЕНИЕ ВРУЧНУЮ: 0104-pz02-02.png]</w:t>
      </w:r>
    </w:p>
    <w:p>
      <w:r>
        <w:t>Что открыть/выполнить: Открыть services/delivery/docs/module-contract.md, полученную командой Get-Content services/delivery/docs/module-contract.md либо встроенные GoDoc/TSDoc/docstring. Показать назначение, входы, результат, ошибки, зависимости и пример использования; документация относится к bafc97a0eb5cc2b2aba68c04a74b179b61432d82.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docs/labs/pr12/ds/evidence/screenshots/0104-pz02-02.png. Подпись: «Рисунок 2 — Документация модуля по стандарту стека».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Один потребитель и две подключаемые реализации</w:t>
      </w:r>
    </w:p>
    <w:p>
      <w:r>
        <w:t>[ВСТАВИТЬ РЕАЛЬНОЕ ИЗОБРАЖЕНИЕ ВРУЧНУЮ: 0104-pz02-03.png]</w:t>
      </w:r>
    </w:p>
    <w:p>
      <w:r>
        <w:t>Что открыть/выполнить: Открыть services/delivery/cmd/delivery-contractcheck/main.go и неизменённый services/delivery/internal/application/verifytarget/verifytarget.go. Выполнить CWD: services/delivery; go test ./internal/application/verifytarget -run TestVerifierUsesReaderAndPreservesProvenance -count=1 для одного сценария с реализациями file-backed TargetReader и fake TargetReader in tests. Показать точку сборки/DI, оба результата и доказательство неизменности потребителя; ограничения подмены указать в тексте.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docs/labs/pr12/ds/evidence/screenshots/0104-pz02-03.png. Подпись: «Рисунок 3 — Один потребитель и две подключаемые реализации».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Модульная карта с легендой и статусами</w:t>
      </w:r>
    </w:p>
    <w:p>
      <w:r>
        <w:t>[ВСТАВИТЬ РЕАЛЬНОЕ ИЗОБРАЖЕНИЕ ВРУЧНУЮ: 0104-pz02-04.png]</w:t>
      </w:r>
    </w:p>
    <w:p>
      <w:r>
        <w:t>Что открыть/выполнить: Открыть docs/labs/pr12/ds/module-map.md на версии bafc97a0eb5cc2b2aba68c04a74b179b61432d82. Показать собственный модуль, ответственность, публичный контракт, зависимости, пути, автора, статусы «работает/план» и легенду направления стрелок. Карта должна соответствовать реальным импортам, а не будущей схеме.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docs/labs/pr12/ds/evidence/screenshots/0104-pz02-04.png. Подпись: «Рисунок 4 — Модульная карта с легендой и статусами».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Проверки с обеими реализациями</w:t>
      </w:r>
    </w:p>
    <w:p>
      <w:r>
        <w:t>[ВСТАВИТЬ РЕАЛЬНОЕ ИЗОБРАЖЕНИЕ ВРУЧНУЮ: 0104-pz02-05.png]</w:t>
      </w:r>
    </w:p>
    <w:p>
      <w:r>
        <w:t>Что открыть/выполнить: Выполнить go test -race ./... на bafc97a0eb5cc2b2aba68c04a74b179b61432d82. Показать обе реализации, штатный, граничный и ошибочный случаи для каждой, ожидаемые/фактические результаты и итог/код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docs/labs/pr12/ds/evidence/screenshots/0104-pz02-05.png. Подпись: «Рисунок 5 — Проверки с обеими реализациями».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Реальная взаимная проверка модуля другого студента</w:t>
      </w:r>
    </w:p>
    <w:p>
      <w:r>
        <w:t>[ВСТАВИТЬ РЕАЛЬНОЕ ИЗОБРАЖЕНИЕ ВРУЧНУЮ: 0104-pz02-06.png]</w:t>
      </w:r>
    </w:p>
    <w:p>
      <w:r>
        <w:t>Что открыть/выполнить: После независимой проверки открыть Материалы H1 оформляются отдельно. и Результаты H1 оформляются отдельно.. Показать имя проверяющего, дату, автора/название чужого модуля, commit, команды сборки, случаи контракта, подмену, сверку карты и замечания/повторный прогон. Агентский self-review не заменяет проверку другого студента.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docs/labs/pr12/ds/evidence/screenshots/0104-pz02-06.png. Подпись: «Рисунок 6 — Реальная взаимная проверка модуля другого студента».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Domain/application/adapter separation is documented in module-map.md and implementation-adr.md.</w:t>
      </w:r>
    </w:p>
    <w:p>
      <w:r>
        <w:t>• Race and named tests PASS on the correction source; evidence is linked to the correction PR and logs.</w:t>
      </w:r>
    </w:p>
    <w:p>
      <w:r>
        <w:t>• Peer module review is an independent human procedure; this report does not substitute it.</w:t>
      </w:r>
    </w:p>
    <w:p>
      <w:pPr>
        <w:pStyle w:val="2"/>
      </w:pPr>
      <w:r>
        <w:t>Иллюстрации</w:t>
      </w:r>
    </w:p>
    <w:p>
      <w:r>
        <w:br w:type="page"/>
      </w:r>
    </w:p>
    <w:p>
      <w:pPr>
        <w:pStyle w:val="1"/>
      </w:pPr>
      <w:r>
        <w:t>Перечень рисунков для вставки</w:t>
      </w:r>
    </w:p>
    <w:p>
      <w:r>
        <w:t>Рисунок 5 показывает фактические прогоны обоих наборов, не только объявленные тесты.</w:t>
      </w:r>
    </w:p>
    <w:p>
      <w:r>
        <w:t>Рисунок 1 — Публичный контракт и существенная реализация</w:t>
      </w:r>
    </w:p>
    <w:p>
      <w:r>
        <w:t>Что открыть/выполнить: Открыть https://github.com/hitpipe/hitpipe/blob/bafc97a0eb5cc2b2aba68c04a74b179b61432d82/services/delivery/internal/domain/readback/readback.go#L1-L220 и services/delivery/docs/module-contract.md. Показать публичную операцию, часть собственной реализации и определённые вход/выход/ошибки; указать версию.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docs/labs/pr12/ds/evidence/screenshots/0104-pz02-01.png. Подпись: «Рисунок 1 — Публичный контракт и существенная реализация». В основном тексте дать ссылку на этот рисунок рядом с фактическим результатом.</w:t>
      </w:r>
    </w:p>
    <w:p>
      <w:r>
        <w:t>Рисунок 2 — Документация модуля по стандарту стека</w:t>
      </w:r>
    </w:p>
    <w:p>
      <w:r>
        <w:t>Что открыть/выполнить: Открыть services/delivery/docs/module-contract.md, полученную командой Get-Content services/delivery/docs/module-contract.md либо встроенные GoDoc/TSDoc/docstring. Показать назначение, входы, результат, ошибки, зависимости и пример использования; документация относится к bafc97a0eb5cc2b2aba68c04a74b179b61432d82.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docs/labs/pr12/ds/evidence/screenshots/0104-pz02-02.png. Подпись: «Рисунок 2 — Документация модуля по стандарту стека». В основном тексте дать ссылку на этот рисунок рядом с фактическим результатом.</w:t>
      </w:r>
    </w:p>
    <w:p>
      <w:r>
        <w:t>Рисунок 3 — Один потребитель и две подключаемые реализации</w:t>
      </w:r>
    </w:p>
    <w:p>
      <w:r>
        <w:t>Что открыть/выполнить: Открыть services/delivery/cmd/delivery-contractcheck/main.go и неизменённый services/delivery/internal/application/verifytarget/verifytarget.go. Выполнить CWD: services/delivery; go test ./internal/application/verifytarget -run TestVerifierUsesReaderAndPreservesProvenance -count=1 для одного сценария с реализациями file-backed TargetReader и fake TargetReader in tests. Показать точку сборки/DI, оба результата и доказательство неизменности потребителя; ограничения подмены указать в тексте.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docs/labs/pr12/ds/evidence/screenshots/0104-pz02-03.png. Подпись: «Рисунок 3 — Один потребитель и две подключаемые реализации». В основном тексте дать ссылку на этот рисунок рядом с фактическим результатом.</w:t>
      </w:r>
    </w:p>
    <w:p>
      <w:r>
        <w:t>Рисунок 4 — Модульная карта с легендой и статусами</w:t>
      </w:r>
    </w:p>
    <w:p>
      <w:r>
        <w:t>Что открыть/выполнить: Открыть docs/labs/pr12/ds/module-map.md на версии bafc97a0eb5cc2b2aba68c04a74b179b61432d82. Показать собственный модуль, ответственность, публичный контракт, зависимости, пути, автора, статусы «работает/план» и легенду направления стрелок. Карта должна соответствовать реальным импортам, а не будущей схеме.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docs/labs/pr12/ds/evidence/screenshots/0104-pz02-04.png. Подпись: «Рисунок 4 — Модульная карта с легендой и статусами». В основном тексте дать ссылку на этот рисунок рядом с фактическим результатом.</w:t>
      </w:r>
    </w:p>
    <w:p>
      <w:r>
        <w:t>Рисунок 5 — Проверки с обеими реализациями</w:t>
      </w:r>
    </w:p>
    <w:p>
      <w:r>
        <w:t>Что открыть/выполнить: Выполнить go test -race ./... на bafc97a0eb5cc2b2aba68c04a74b179b61432d82. Показать обе реализации, штатный, граничный и ошибочный случаи для каждой, ожидаемые/фактические результаты и итог/код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docs/labs/pr12/ds/evidence/screenshots/0104-pz02-05.png. Подпись: «Рисунок 5 — Проверки с обеими реализациями». В основном тексте дать ссылку на этот рисунок рядом с фактическим результатом.</w:t>
      </w:r>
    </w:p>
    <w:p>
      <w:r>
        <w:t>Рисунок 6 — Реальная взаимная проверка модуля другого студента</w:t>
      </w:r>
    </w:p>
    <w:p>
      <w:r>
        <w:t>Что открыть/выполнить: После независимой проверки открыть Материалы H1 оформляются отдельно. и Результаты H1 оформляются отдельно.. Показать имя проверяющего, дату, автора/название чужого модуля, commit, команды сборки, случаи контракта, подмену, сверку карты и замечания/повторный прогон. Агентский self-review не заменяет проверку другого студента.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docs/labs/pr12/ds/evidence/screenshots/0104-pz02-06.png. Подпись: «Рисунок 6 — Реальная взаимная проверка модуля другого студента». В основном тексте дать ссылку на этот рисунок рядом с фактическим результатом.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