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/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r>
              <w:t>Дмитрий Стацюк, группа не указана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r>
              <w:t>HitPipe; Delivery - Destination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участок</w:t>
            </w:r>
          </w:p>
        </w:tc>
        <w:tc>
          <w:tcPr>
            <w:tcW w:w="4677" w:type="dxa"/>
          </w:tcPr>
          <w:p>
            <w:r>
              <w:t>TargetReadback / services/delivery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r>
              <w:t>не создан — human/Lead gate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1 — Требование, задача и запрос на слияние]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Требование, задача и запрос на слияние</w:t>
      </w:r>
    </w:p>
    <w:p w:rsidR="00D73871" w:rsidRDefault="00181D04">
      <w:r>
        <w:t>Источник сведений: Материалы H1 оформляются отдельно.; реальная дата и участники Проверка по H1 выполняется отдельно.;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>
            <w:r>
              <w:t>Desk-research questions</w:t>
            </w:r>
          </w:p>
        </w:tc>
        <w:tc>
          <w:tcPr>
            <w:tcW w:w="3378" w:type="dxa"/>
          </w:tcPr>
          <w:p>
            <w:r>
              <w:t>Source: locked HP-VER-001/formal DeliveryIntent, ObservedTaskAttributes, TaskObservation; no live interview</w:t>
            </w:r>
          </w:p>
        </w:tc>
        <w:tc>
          <w:tcPr>
            <w:tcW w:w="3378" w:type="dxa"/>
          </w:tcPr>
          <w:p>
            <w:r>
              <w:t>Open human action: conduct real interview and attach date/participants/answers; do not treat desk research as interview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FR-1</w:t>
            </w:r>
          </w:p>
        </w:tc>
        <w:tc>
          <w:tcPr>
            <w:tcW w:w="1670" w:type="dxa"/>
          </w:tcPr>
          <w:p>
            <w:r>
              <w:t>Compare workspace/list/title/assignee/handoff/context</w:t>
            </w:r>
          </w:p>
        </w:tc>
        <w:tc>
          <w:tcPr>
            <w:tcW w:w="1670" w:type="dxa"/>
          </w:tcPr>
          <w:p>
            <w:r>
              <w:t>requirements.md FR-1; formal projection</w:t>
            </w:r>
          </w:p>
        </w:tc>
        <w:tc>
          <w:tcPr>
            <w:tcW w:w="1086" w:type="dxa"/>
          </w:tcPr>
          <w:p>
            <w:r>
              <w:t>MVP</w:t>
            </w:r>
          </w:p>
        </w:tc>
        <w:tc>
          <w:tcPr>
            <w:tcW w:w="2172" w:type="dxa"/>
          </w:tcPr>
          <w:p>
            <w:r>
              <w:t>go test ./...; typed outcome; PASS on source head</w:t>
            </w:r>
          </w:p>
        </w:tc>
        <w:tc>
          <w:tcPr>
            <w:tcW w:w="1670" w:type="dxa"/>
          </w:tcPr>
          <w:p>
            <w: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FR-2</w:t>
            </w:r>
          </w:p>
        </w:tc>
        <w:tc>
          <w:tcPr>
            <w:tcW w:w="1670" w:type="dxa"/>
          </w:tcPr>
          <w:p>
            <w:r>
              <w:t>One canonical lowercase-UUID handoff with Service/Order/Context and matching markers</w:t>
            </w:r>
          </w:p>
        </w:tc>
        <w:tc>
          <w:tcPr>
            <w:tcW w:w="1670" w:type="dxa"/>
          </w:tcPr>
          <w:p>
            <w:r>
              <w:t>requirements.md FR-2; BP004/T013</w:t>
            </w:r>
          </w:p>
        </w:tc>
        <w:tc>
          <w:tcPr>
            <w:tcW w:w="1086" w:type="dxa"/>
          </w:tcPr>
          <w:p>
            <w:r>
              <w:t>MVP</w:t>
            </w:r>
          </w:p>
        </w:tc>
        <w:tc>
          <w:tcPr>
            <w:tcW w:w="2172" w:type="dxa"/>
          </w:tcPr>
          <w:p>
            <w:r>
              <w:t>readback regression suite; PASS</w:t>
            </w:r>
          </w:p>
        </w:tc>
        <w:tc>
          <w:tcPr>
            <w:tcW w:w="1670" w:type="dxa"/>
          </w:tcPr>
          <w:p>
            <w: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NFR-2</w:t>
            </w:r>
          </w:p>
        </w:tc>
        <w:tc>
          <w:tcPr>
            <w:tcW w:w="1670" w:type="dxa"/>
          </w:tcPr>
          <w:p>
            <w:r>
              <w:t>JCS escaped configured projection ≤32KiB; rendered block ≤36KiB</w:t>
            </w:r>
          </w:p>
        </w:tc>
        <w:tc>
          <w:tcPr>
            <w:tcW w:w="1670" w:type="dxa"/>
          </w:tcPr>
          <w:p>
            <w:r>
              <w:t>requirements.md NFR-2</w:t>
            </w:r>
          </w:p>
        </w:tc>
        <w:tc>
          <w:tcPr>
            <w:tcW w:w="1086" w:type="dxa"/>
          </w:tcPr>
          <w:p>
            <w:r>
              <w:t>MVP</w:t>
            </w:r>
          </w:p>
        </w:tc>
        <w:tc>
          <w:tcPr>
            <w:tcW w:w="2172" w:type="dxa"/>
          </w:tcPr>
          <w:p>
            <w:r>
              <w:t>quote-heavy boundary test; PASS</w:t>
            </w:r>
          </w:p>
        </w:tc>
        <w:tc>
          <w:tcPr>
            <w:tcW w:w="1670" w:type="dxa"/>
          </w:tcPr>
          <w:p>
            <w:r>
              <w:t>implemented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Проверка по H1 выполняется отдельно., назначение по кольцу преподавателя Проверка по H1 выполняется отдельно., рассмотренная версия и ссылка на протокол Материалы H1 оформляются отдельно..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r>
              <w:t>DS-REV-003 JSON boundary</w:t>
            </w:r>
          </w:p>
        </w:tc>
        <w:tc>
          <w:tcPr>
            <w:tcW w:w="2598" w:type="dxa"/>
          </w:tcPr>
          <w:p>
            <w:r>
              <w:t>Strict lexical structure, duplicate/exact keys, EOF and surrogate pairing</w:t>
            </w:r>
          </w:p>
        </w:tc>
        <w:tc>
          <w:tcPr>
            <w:tcW w:w="3378" w:type="dxa"/>
          </w:tcPr>
          <w:p>
            <w:r>
              <w:t>fixtures.go + review_regressions_test.go + go test log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r>
              <w:t>DS-REV-001/004 handoff/control/budget</w:t>
            </w:r>
          </w:p>
        </w:tc>
        <w:tc>
          <w:tcPr>
            <w:tcW w:w="2598" w:type="dxa"/>
          </w:tcPr>
          <w:p>
            <w:r>
              <w:t>Canonical T013 labels, UUID, markers, controls and escaped-byte budgets</w:t>
            </w:r>
          </w:p>
        </w:tc>
        <w:tc>
          <w:tcPr>
            <w:tcW w:w="3378" w:type="dxa"/>
          </w:tcPr>
          <w:p>
            <w:r>
              <w:t>readback.go + tests + requirements.md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2 — Автоматические проверки изменения требований]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Автоматические проверки изменения требований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3 — Оппонирование другого проекта и принятое решение]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Оппонирование другого проекта и принятое решение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>
            <w:r>
              <w:t>Security and provenance</w:t>
            </w:r>
          </w:p>
        </w:tc>
        <w:tc>
          <w:tcPr>
            <w:tcW w:w="1765" w:type="dxa"/>
          </w:tcPr>
          <w:p>
            <w:r>
              <w:t>Strict JSON/handoff and target/provenance guards; no provider access or secrets</w:t>
            </w:r>
          </w:p>
        </w:tc>
        <w:tc>
          <w:tcPr>
            <w:tcW w:w="1765" w:type="dxa"/>
          </w:tcPr>
          <w:p>
            <w:r>
              <w:t>PASS local tests/vet/race; hidden/live authority not claimed; security-baseline.md</w:t>
            </w:r>
          </w:p>
        </w:tc>
        <w:tc>
          <w:tcPr>
            <w:tcW w:w="2294" w:type="dxa"/>
          </w:tcPr>
          <w:p>
            <w:r>
              <w:t>bafc97a0eb5cc2b2aba68c04a74b179b61432d82</w:t>
            </w:r>
          </w:p>
        </w:tc>
        <w:tc>
          <w:tcPr>
            <w:tcW w:w="1765" w:type="dxa"/>
          </w:tcPr>
          <w:p>
            <w:r>
              <w:t>Candidate offline slice; no live provider or acceptance claim</w:t>
            </w:r>
          </w:p>
        </w:tc>
      </w:tr>
    </w:tbl>
    <w:p w:rsidR="00D73871" w:rsidRDefault="00D73871">
      <w:pPr>
        <w:spacing w:after="60" w:line="240" w:lineRule="auto"/>
      </w:pPr>
      <w:r/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</w:tcPr>
          <w:p>
            <w:r>
              <w:t>Требование и ситуация</w:t>
            </w:r>
          </w:p>
        </w:tc>
        <w:tc>
          <w:tcPr>
            <w:tcW w:type="dxa" w:w="1871"/>
          </w:tcPr>
          <w:p>
            <w:r>
              <w:t>Ожидаемый по тексту исход</w:t>
            </w:r>
          </w:p>
        </w:tc>
        <w:tc>
          <w:tcPr>
            <w:tcW w:type="dxa" w:w="1871"/>
          </w:tcPr>
          <w:p>
            <w:r>
              <w:t>Фактический ответ другого студента</w:t>
            </w:r>
          </w:p>
        </w:tc>
        <w:tc>
          <w:tcPr>
            <w:tcW w:type="dxa" w:w="1871"/>
          </w:tcPr>
          <w:p>
            <w:r>
              <w:t>Проверяющий, дата, версия</w:t>
            </w:r>
          </w:p>
        </w:tc>
        <w:tc>
          <w:tcPr>
            <w:tcW w:type="dxa" w:w="1871"/>
          </w:tcPr>
          <w:p>
            <w:r>
              <w:t>Расхождение и исправление</w:t>
            </w:r>
          </w:p>
        </w:tc>
      </w:tr>
      <w:tr>
        <w:tc>
          <w:tcPr>
            <w:tcW w:type="dxa" w:w="1871"/>
          </w:tcPr>
          <w:p>
            <w:r>
              <w:t>HIT-42 TargetReadback refinement</w:t>
            </w:r>
          </w:p>
        </w:tc>
        <w:tc>
          <w:tcPr>
            <w:tcW w:type="dxa" w:w="1871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1871"/>
          </w:tcPr>
          <w:p>
            <w:r>
              <w:t>Результат фиксируется в журнале проверки.</w:t>
            </w:r>
          </w:p>
        </w:tc>
        <w:tc>
          <w:tcPr>
            <w:tcW w:type="dxa" w:w="1871"/>
          </w:tcPr>
          <w:p>
            <w:r>
              <w:t>Дмитрий Стацюк; 2026-10-19; bafc97a0eb5cc2b2aba68c04a74b179b61432d82</w:t>
            </w:r>
          </w:p>
        </w:tc>
        <w:tc>
          <w:tcPr>
            <w:tcW w:type="dxa" w:w="1871"/>
          </w:tcPr>
          <w:p>
            <w: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>
            <w:r>
              <w:t>Technical result</w:t>
            </w:r>
          </w:p>
        </w:tc>
        <w:tc>
          <w:tcPr>
            <w:tcW w:w="2835" w:type="dxa"/>
          </w:tcPr>
          <w:p>
            <w:r>
              <w:t>R1 desk research and questions separated; FR/NFR/AC traced; human interview and opposition remain отдельная учебная процедура</w:t>
            </w:r>
          </w:p>
        </w:tc>
        <w:tc>
          <w:tcPr>
            <w:tcW w:w="2835" w:type="dxa"/>
          </w:tcPr>
          <w:p>
            <w:r>
              <w:t>requirements.md, requirements-trace.json, security-baseline.md, PR29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>
            <w:r>
              <w:t>МДК.03.02, ПЗ №1, Дмитрий Стацюк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>
            <w:r>
              <w:t>не создан — human/Lead gate; source bafc97a0eb5cc2b2aba68c04a74b179b61432d82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Материалы</w:t>
            </w:r>
          </w:p>
        </w:tc>
        <w:tc>
          <w:tcPr>
            <w:tcW w:w="4677" w:type="dxa"/>
          </w:tcPr>
          <w:p>
            <w:r>
              <w:t>requirements.md; requirements-trace.json; security-baseline.md; interview.md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Задачи и MR/PR</w:t>
            </w:r>
          </w:p>
        </w:tc>
        <w:tc>
          <w:tcPr>
            <w:tcW w:w="4677" w:type="dxa"/>
          </w:tcPr>
          <w:p>
            <w:r>
              <w:t>HIT-41–48; correction PR #29; no merge/Done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Pipeline и применимые проверки</w:t>
            </w:r>
          </w:p>
        </w:tc>
        <w:tc>
          <w:tcPr>
            <w:tcW w:w="4677" w:type="dxa"/>
          </w:tcPr>
          <w:p>
            <w:r>
              <w:t>go test/vet/race, smoke and CI evidence linked in evidence/index.json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Оппонирование</w:t>
            </w:r>
          </w:p>
        </w:tc>
        <w:tc>
          <w:tcPr>
            <w:tcW w:w="4677" w:type="dxa"/>
          </w:tcPr>
          <w:p>
            <w:r>
              <w:t>отдельная учебная процедура — real interview/opposition/clarity reviewer required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Ограничения</w:t>
            </w:r>
          </w:p>
        </w:tc>
        <w:tc>
          <w:tcPr>
            <w:tcW w:w="4677" w:type="dxa"/>
          </w:tcPr>
          <w:p>
            <w:r>
              <w:t>Candidate/In Review; no acceptance or personal signature inferred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