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>
            <w: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r>
              <w:t>FR-1–FR-4 / security</w:t>
            </w:r>
          </w:p>
        </w:tc>
        <w:tc>
          <w:tcPr>
            <w:tcW w:w="2175" w:type="dxa"/>
          </w:tcPr>
          <w:p>
            <w:r>
              <w:t>strict JSON, exact handoff, target/provenance and typed outcome rules</w:t>
            </w:r>
          </w:p>
        </w:tc>
        <w:tc>
          <w:tcPr>
            <w:tcW w:w="2828" w:type="dxa"/>
          </w:tcPr>
          <w:p>
            <w:r>
              <w:t>requirements.md, security-baseline.md, BP004/T013 projection</w:t>
            </w:r>
          </w:p>
        </w:tc>
        <w:tc>
          <w:tcPr>
            <w:tcW w:w="2175" w:type="dxa"/>
          </w:tcPr>
          <w:p>
            <w: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r>
              <w:t>TD-1/TD-2</w:t>
            </w:r>
          </w:p>
        </w:tc>
        <w:tc>
          <w:tcPr>
            <w:tcW w:w="1572" w:type="dxa"/>
          </w:tcPr>
          <w:p>
            <w:r>
              <w:t>equivalence partitions and boundary-value analysis</w:t>
            </w:r>
          </w:p>
        </w:tc>
        <w:tc>
          <w:tcPr>
            <w:tcW w:w="2044" w:type="dxa"/>
          </w:tcPr>
          <w:p>
            <w:r>
              <w:t>aliases/duplicates/Unicode/controls; 32KiB escaped projection, 36KiB rendered block; six DI cases</w:t>
            </w:r>
          </w:p>
        </w:tc>
        <w:tc>
          <w:tcPr>
            <w:tcW w:w="1572" w:type="dxa"/>
          </w:tcPr>
          <w:p>
            <w:r>
              <w:t>go test ./...</w:t>
            </w:r>
          </w:p>
        </w:tc>
        <w:tc>
          <w:tcPr>
            <w:tcW w:w="1572" w:type="dxa"/>
          </w:tcPr>
          <w:p>
            <w:r>
              <w:t>typed PASS/FAIL/Incomplete/Unknown assertions</w:t>
            </w:r>
          </w:p>
        </w:tc>
        <w:tc>
          <w:tcPr>
            <w:tcW w:w="1572" w:type="dxa"/>
          </w:tcPr>
          <w:p>
            <w: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r>
              <w:t>R-001</w:t>
            </w:r>
          </w:p>
        </w:tc>
        <w:tc>
          <w:tcPr>
            <w:tcW w:w="1585" w:type="dxa"/>
          </w:tcPr>
          <w:p>
            <w:r>
              <w:t>Malformed JSON/handoff → false match</w:t>
            </w:r>
          </w:p>
        </w:tc>
        <w:tc>
          <w:tcPr>
            <w:tcW w:w="2061" w:type="dxa"/>
          </w:tcPr>
          <w:p>
            <w:r>
              <w:t>Medium: untrusted saved evidence</w:t>
            </w:r>
          </w:p>
        </w:tc>
        <w:tc>
          <w:tcPr>
            <w:tcW w:w="1585" w:type="dxa"/>
          </w:tcPr>
          <w:p>
            <w:r>
              <w:t>High: wrong delivery decision</w:t>
            </w:r>
          </w:p>
        </w:tc>
        <w:tc>
          <w:tcPr>
            <w:tcW w:w="1031" w:type="dxa"/>
          </w:tcPr>
          <w:p>
            <w:r>
              <w:t>High</w:t>
            </w:r>
          </w:p>
        </w:tc>
        <w:tc>
          <w:tcPr>
            <w:tcW w:w="2061" w:type="dxa"/>
          </w:tcPr>
          <w:p>
            <w:r>
              <w:t>strict parser tests every change; residual Low locally</w:t>
            </w:r>
          </w:p>
        </w:tc>
      </w:tr>
      <w:tr>
        <w:tc>
          <w:tcPr>
            <w:tcW w:type="dxa" w:w="1031"/>
          </w:tcPr>
          <w:p>
            <w:r>
              <w:t>R-002</w:t>
            </w:r>
          </w:p>
        </w:tc>
        <w:tc>
          <w:tcPr>
            <w:tcW w:type="dxa" w:w="1585"/>
          </w:tcPr>
          <w:p>
            <w:r>
              <w:t>Retrieval error → duplicate effect</w:t>
            </w:r>
          </w:p>
        </w:tc>
        <w:tc>
          <w:tcPr>
            <w:tcW w:type="dxa" w:w="2061"/>
          </w:tcPr>
          <w:p>
            <w:r>
              <w:t>Low: guarded consumer</w:t>
            </w:r>
          </w:p>
        </w:tc>
        <w:tc>
          <w:tcPr>
            <w:tcW w:type="dxa" w:w="1585"/>
          </w:tcPr>
          <w:p>
            <w:r>
              <w:t>High: possible external duplicate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FileReader/consumer error test every change; residual Medium live</w:t>
            </w:r>
          </w:p>
        </w:tc>
      </w:tr>
      <w:tr>
        <w:tc>
          <w:tcPr>
            <w:tcW w:type="dxa" w:w="1031"/>
          </w:tcPr>
          <w:p>
            <w:r>
              <w:t>R-003</w:t>
            </w:r>
          </w:p>
        </w:tc>
        <w:tc>
          <w:tcPr>
            <w:tcW w:type="dxa" w:w="1585"/>
          </w:tcPr>
          <w:p>
            <w:r>
              <w:t>Relabelled target → wrong confirmation</w:t>
            </w:r>
          </w:p>
        </w:tc>
        <w:tc>
          <w:tcPr>
            <w:tcW w:type="dxa" w:w="2061"/>
          </w:tcPr>
          <w:p>
            <w:r>
              <w:t>Medium: file input</w:t>
            </w:r>
          </w:p>
        </w:tc>
        <w:tc>
          <w:tcPr>
            <w:tcW w:type="dxa" w:w="1585"/>
          </w:tcPr>
          <w:p>
            <w:r>
              <w:t>High: wrong task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target/provenance DI test every change; residual Low</w:t>
            </w:r>
          </w:p>
        </w:tc>
      </w:tr>
      <w:tr>
        <w:tc>
          <w:tcPr>
            <w:tcW w:type="dxa" w:w="1031"/>
          </w:tcPr>
          <w:p>
            <w:r>
              <w:t>R-004</w:t>
            </w:r>
          </w:p>
        </w:tc>
        <w:tc>
          <w:tcPr>
            <w:tcW w:type="dxa" w:w="1585"/>
          </w:tcPr>
          <w:p>
            <w:r>
              <w:t>NUL/control input → ambiguous evidence</w:t>
            </w:r>
          </w:p>
        </w:tc>
        <w:tc>
          <w:tcPr>
            <w:tcW w:type="dxa" w:w="2061"/>
          </w:tcPr>
          <w:p>
            <w:r>
              <w:t>Medium before fix</w:t>
            </w:r>
          </w:p>
        </w:tc>
        <w:tc>
          <w:tcPr>
            <w:tcW w:type="dxa" w:w="1585"/>
          </w:tcPr>
          <w:p>
            <w:r>
              <w:t>Medium: unsafe text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control regression every change; residual Low</w:t>
            </w:r>
          </w:p>
        </w:tc>
      </w:tr>
      <w:tr>
        <w:tc>
          <w:tcPr>
            <w:tcW w:type="dxa" w:w="1031"/>
          </w:tcPr>
          <w:p>
            <w:r>
              <w:t>R-005</w:t>
            </w:r>
          </w:p>
        </w:tc>
        <w:tc>
          <w:tcPr>
            <w:tcW w:type="dxa" w:w="1585"/>
          </w:tcPr>
          <w:p>
            <w:r>
              <w:t>Escaping bypasses context budget</w:t>
            </w:r>
          </w:p>
        </w:tc>
        <w:tc>
          <w:tcPr>
            <w:tcW w:type="dxa" w:w="2061"/>
          </w:tcPr>
          <w:p>
            <w:r>
              <w:t>Medium: quote-heavy input</w:t>
            </w:r>
          </w:p>
        </w:tc>
        <w:tc>
          <w:tcPr>
            <w:tcW w:type="dxa" w:w="1585"/>
          </w:tcPr>
          <w:p>
            <w:r>
              <w:t>High: oversized evidence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JCS byte boundary every change; residual Low locally</w:t>
            </w:r>
          </w:p>
        </w:tc>
      </w:tr>
      <w:tr>
        <w:tc>
          <w:tcPr>
            <w:tcW w:type="dxa" w:w="1031"/>
          </w:tcPr>
          <w:p>
            <w:r>
              <w:t>R-006</w:t>
            </w:r>
          </w:p>
        </w:tc>
        <w:tc>
          <w:tcPr>
            <w:tcW w:type="dxa" w:w="1585"/>
          </w:tcPr>
          <w:p>
            <w:r>
              <w:t>Normalization changes spaces</w:t>
            </w:r>
          </w:p>
        </w:tc>
        <w:tc>
          <w:tcPr>
            <w:tcW w:type="dxa" w:w="2061"/>
          </w:tcPr>
          <w:p>
            <w:r>
              <w:t>Low: narrow normalizer</w:t>
            </w:r>
          </w:p>
        </w:tc>
        <w:tc>
          <w:tcPr>
            <w:tcW w:type="dxa" w:w="1585"/>
          </w:tcPr>
          <w:p>
            <w:r>
              <w:t>Medium: false match/mismatch</w:t>
            </w:r>
          </w:p>
        </w:tc>
        <w:tc>
          <w:tcPr>
            <w:tcW w:type="dxa" w:w="1031"/>
          </w:tcPr>
          <w:p>
            <w:r>
              <w:t>Medium</w:t>
            </w:r>
          </w:p>
        </w:tc>
        <w:tc>
          <w:tcPr>
            <w:tcW w:type="dxa" w:w="2061"/>
          </w:tcPr>
          <w:p>
            <w:r>
              <w:t>NFC/CRLF/space regression; residual Low</w:t>
            </w:r>
          </w:p>
        </w:tc>
      </w:tr>
      <w:tr>
        <w:tc>
          <w:tcPr>
            <w:tcW w:type="dxa" w:w="1031"/>
          </w:tcPr>
          <w:p>
            <w:r>
              <w:t>R-007</w:t>
            </w:r>
          </w:p>
        </w:tc>
        <w:tc>
          <w:tcPr>
            <w:tcW w:type="dxa" w:w="1585"/>
          </w:tcPr>
          <w:p>
            <w:r>
              <w:t>Human placeholder treated as PASS</w:t>
            </w:r>
          </w:p>
        </w:tc>
        <w:tc>
          <w:tcPr>
            <w:tcW w:type="dxa" w:w="2061"/>
          </w:tcPr>
          <w:p>
            <w:r>
              <w:t>High: manual workflow</w:t>
            </w:r>
          </w:p>
        </w:tc>
        <w:tc>
          <w:tcPr>
            <w:tcW w:type="dxa" w:w="1585"/>
          </w:tcPr>
          <w:p>
            <w:r>
              <w:t>Medium: provenance error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report audit per submission; residual Medium until human gate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r>
              <w:t>T-JSON</w:t>
            </w:r>
          </w:p>
        </w:tc>
        <w:tc>
          <w:tcPr>
            <w:tcW w:w="1765" w:type="dxa"/>
          </w:tcPr>
          <w:p>
            <w:r>
              <w:t>strict parser boundaries</w:t>
            </w:r>
          </w:p>
        </w:tc>
        <w:tc>
          <w:tcPr>
            <w:tcW w:w="1765" w:type="dxa"/>
          </w:tcPr>
          <w:p>
            <w:r>
              <w:t>go test ./...</w:t>
            </w:r>
          </w:p>
        </w:tc>
        <w:tc>
          <w:tcPr>
            <w:tcW w:w="2294" w:type="dxa"/>
          </w:tcPr>
          <w:p>
            <w:r>
              <w:t>PASS</w:t>
            </w:r>
          </w:p>
        </w:tc>
        <w:tc>
          <w:tcPr>
            <w:tcW w:w="1765" w:type="dxa"/>
          </w:tcPr>
          <w:p>
            <w:r>
              <w:t>review_regressions_test.go</w:t>
            </w:r>
          </w:p>
        </w:tc>
      </w:tr>
      <w:tr>
        <w:tc>
          <w:tcPr>
            <w:tcW w:type="dxa" w:w="1765"/>
          </w:tcPr>
          <w:p>
            <w:r>
              <w:t>T-DI</w:t>
            </w:r>
          </w:p>
        </w:tc>
        <w:tc>
          <w:tcPr>
            <w:tcW w:type="dxa" w:w="1765"/>
          </w:tcPr>
          <w:p>
            <w:r>
              <w:t>6 DI scenarios</w:t>
            </w:r>
          </w:p>
        </w:tc>
        <w:tc>
          <w:tcPr>
            <w:tcW w:type="dxa" w:w="1765"/>
          </w:tcPr>
          <w:p>
            <w:r>
              <w:t>go test ./internal/adapters/fixtures/targetreader -run TestFileReaderAndDoubleShareVerifyTargetContract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di_contract_test.go</w:t>
            </w:r>
          </w:p>
        </w:tc>
      </w:tr>
      <w:tr>
        <w:tc>
          <w:tcPr>
            <w:tcW w:type="dxa" w:w="1765"/>
          </w:tcPr>
          <w:p>
            <w:r>
              <w:t>T-VET</w:t>
            </w:r>
          </w:p>
        </w:tc>
        <w:tc>
          <w:tcPr>
            <w:tcW w:type="dxa" w:w="1765"/>
          </w:tcPr>
          <w:p>
            <w:r>
              <w:t>static</w:t>
            </w:r>
          </w:p>
        </w:tc>
        <w:tc>
          <w:tcPr>
            <w:tcW w:type="dxa" w:w="1765"/>
          </w:tcPr>
          <w:p>
            <w:r>
              <w:t>go vet ./...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HIT-47-go-vet.log</w:t>
            </w:r>
          </w:p>
        </w:tc>
      </w:tr>
      <w:tr>
        <w:tc>
          <w:tcPr>
            <w:tcW w:type="dxa" w:w="1765"/>
          </w:tcPr>
          <w:p>
            <w:r>
              <w:t>T-RACE</w:t>
            </w:r>
          </w:p>
        </w:tc>
        <w:tc>
          <w:tcPr>
            <w:tcW w:type="dxa" w:w="1765"/>
          </w:tcPr>
          <w:p>
            <w:r>
              <w:t>race</w:t>
            </w:r>
          </w:p>
        </w:tc>
        <w:tc>
          <w:tcPr>
            <w:tcW w:type="dxa" w:w="1765"/>
          </w:tcPr>
          <w:p>
            <w:r>
              <w:t>CGO_ENABLED=1 go test -race ./...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r>
              <w:t>Domain/readback 74.7%; application 77.8%; FileReader 63.2%; CLI 0.0%</w:t>
            </w:r>
          </w:p>
        </w:tc>
        <w:tc>
          <w:tcPr>
            <w:tcW w:w="2175" w:type="dxa"/>
          </w:tcPr>
          <w:p>
            <w:r>
              <w:t>CLI is thin composition root; provider I/O and human gates are outside automated coverage</w:t>
            </w:r>
          </w:p>
        </w:tc>
        <w:tc>
          <w:tcPr>
            <w:tcW w:w="2175" w:type="dxa"/>
          </w:tcPr>
          <w:p>
            <w:r>
              <w:t>Keep CLI smoke; add semantic tests at domain/application/adapter boundaries</w:t>
            </w:r>
          </w:p>
        </w:tc>
        <w:tc>
          <w:tcPr>
            <w:tcW w:w="2175" w:type="dxa"/>
          </w:tcPr>
          <w:p>
            <w: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Исходный корректный код</w:t>
            </w:r>
          </w:p>
        </w:tc>
        <w:tc>
          <w:tcPr>
            <w:tcW w:w="2339" w:type="dxa"/>
          </w:tcPr>
          <w:p>
            <w:r>
              <w:t>bafc97a0eb5cc2b2aba68c04a74b179b61432d82</w:t>
            </w:r>
          </w:p>
        </w:tc>
        <w:tc>
          <w:tcPr>
            <w:tcW w:w="2339" w:type="dxa"/>
          </w:tcPr>
          <w:p>
            <w:r>
              <w:t>all local named tests PASS</w:t>
            </w:r>
          </w:p>
        </w:tc>
        <w:tc>
          <w:tcPr>
            <w:tcW w:w="2339" w:type="dxa"/>
          </w:tcPr>
          <w:p>
            <w: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Код с дефектом</w:t>
            </w:r>
          </w:p>
        </w:tc>
        <w:tc>
          <w:tcPr>
            <w:tcW w:w="2339" w:type="dxa"/>
          </w:tcPr>
          <w:p>
            <w:r>
              <w:t>five one-at-a-time compiling mutants</w:t>
            </w:r>
          </w:p>
        </w:tc>
        <w:tc>
          <w:tcPr>
            <w:tcW w:w="2339" w:type="dxa"/>
          </w:tcPr>
          <w:p>
            <w:r>
              <w:t>each assertion FAIL; no compile failure counted</w:t>
            </w:r>
          </w:p>
        </w:tc>
        <w:tc>
          <w:tcPr>
            <w:tcW w:w="2339" w:type="dxa"/>
          </w:tcPr>
          <w:p>
            <w: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Восстановленный код</w:t>
            </w:r>
          </w:p>
        </w:tc>
        <w:tc>
          <w:tcPr>
            <w:tcW w:w="2339" w:type="dxa"/>
          </w:tcPr>
          <w:p>
            <w:r>
              <w:t>bafc97a0eb5cc2b2aba68c04a74b179b61432d82</w:t>
            </w:r>
          </w:p>
        </w:tc>
        <w:tc>
          <w:tcPr>
            <w:tcW w:w="2339" w:type="dxa"/>
          </w:tcPr>
          <w:p>
            <w:r>
              <w:t>full restored suite PASS; race/vet/smoke rerun</w:t>
            </w:r>
          </w:p>
        </w:tc>
        <w:tc>
          <w:tcPr>
            <w:tcW w:w="2339" w:type="dxa"/>
          </w:tcPr>
          <w:p>
            <w: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M1</w:t>
            </w:r>
          </w:p>
        </w:tc>
        <w:tc>
          <w:tcPr>
            <w:tcW w:type="dxa" w:w="1336"/>
          </w:tcPr>
          <w:p>
            <w:r>
              <w:t>remove retrieval guard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TestCompareIncompleteAndUnknownPrecedence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 precedence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M2</w:t>
            </w:r>
          </w:p>
        </w:tc>
        <w:tc>
          <w:tcPr>
            <w:tcW w:type="dxa" w:w="1336"/>
          </w:tcPr>
          <w:p>
            <w:r>
              <w:t>change malformed handoff outcome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canonical handoff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incomplete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M3</w:t>
            </w:r>
          </w:p>
        </w:tc>
        <w:tc>
          <w:tcPr>
            <w:tcW w:type="dxa" w:w="1336"/>
          </w:tcPr>
          <w:p>
            <w:r>
              <w:t>remove title mismatch guard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field mismatch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title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M4</w:t>
            </w:r>
          </w:p>
        </w:tc>
        <w:tc>
          <w:tcPr>
            <w:tcW w:type="dxa" w:w="1336"/>
          </w:tcPr>
          <w:p>
            <w:r>
              <w:t>skip title UTF-8 validation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invalid UTF-8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M5</w:t>
            </w:r>
          </w:p>
        </w:tc>
        <w:tc>
          <w:tcPr>
            <w:tcW w:type="dxa" w:w="1336"/>
          </w:tcPr>
          <w:p>
            <w:r>
              <w:t>remove assignee comparison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assignee mismatch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configured assignee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r>
              <w:t>System of checks</w:t>
            </w:r>
          </w:p>
        </w:tc>
        <w:tc>
          <w:tcPr>
            <w:tcW w:w="2835" w:type="dxa"/>
          </w:tcPr>
          <w:p>
            <w:r>
              <w:t>two test-design techniques; 7-risk matrix; 5 compiling behavioral mutations; local/CI/race/vet/smoke evidence</w:t>
            </w:r>
          </w:p>
        </w:tc>
        <w:tc>
          <w:tcPr>
            <w:tcW w:w="2835" w:type="dxa"/>
          </w:tcPr>
          <w:p>
            <w: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>
            <w: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>
            <w: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>
            <w: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>
            <w: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Мутация и восстановление</w:t>
            </w:r>
          </w:p>
        </w:tc>
        <w:tc>
          <w:tcPr>
            <w:tcW w:w="4677" w:type="dxa"/>
          </w:tcPr>
          <w:p>
            <w: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>
            <w: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