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будет выполнена отдельно по учебной инструкции. Модульная карта проверка будет выполнена отдельно по учебной инструкции;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Часть</w:t>
            </w:r>
          </w:p>
        </w:tc>
        <w:tc>
          <w:tcPr>
            <w:tcW w:type="dxa" w:w="4677"/>
          </w:tcPr>
          <w:p>
            <w:r>
              <w:t>Краткое описание</w:t>
            </w:r>
          </w:p>
        </w:tc>
      </w:tr>
      <w:tr>
        <w:tc>
          <w:tcPr>
            <w:tcW w:type="dxa" w:w="4677"/>
          </w:tcPr>
          <w:p>
            <w:r>
              <w:t>Назначение</w:t>
            </w:r>
          </w:p>
        </w:tc>
        <w:tc>
          <w:tcPr>
            <w:tcW w:type="dxa" w:w="4677"/>
          </w:tcPr>
          <w:p>
            <w:r>
              <w:t>VerifyTarget сравнивает одну цель через TargetReader.</w:t>
            </w:r>
          </w:p>
        </w:tc>
      </w:tr>
      <w:tr>
        <w:tc>
          <w:tcPr>
            <w:tcW w:type="dxa" w:w="4677"/>
          </w:tcPr>
          <w:p>
            <w:r>
              <w:t>Вход</w:t>
            </w:r>
          </w:p>
        </w:tc>
        <w:tc>
          <w:tcPr>
            <w:tcW w:type="dxa" w:w="4677"/>
          </w:tcPr>
          <w:p>
            <w:r>
              <w:t>ID цели, Expected, строгий JSON или test double.</w:t>
            </w:r>
          </w:p>
        </w:tc>
      </w:tr>
      <w:tr>
        <w:tc>
          <w:tcPr>
            <w:tcW w:type="dxa" w:w="4677"/>
          </w:tcPr>
          <w:p>
            <w:r>
              <w:t>Результат</w:t>
            </w:r>
          </w:p>
        </w:tc>
        <w:tc>
          <w:tcPr>
            <w:tcW w:type="dxa" w:w="4677"/>
          </w:tcPr>
          <w:p>
            <w:r>
              <w:t>Match / mismatch / incomplete / unknown; без записи и сети.</w:t>
            </w:r>
          </w:p>
        </w:tc>
      </w:tr>
      <w:tr>
        <w:tc>
          <w:tcPr>
            <w:tcW w:type="dxa" w:w="4677"/>
          </w:tcPr>
          <w:p>
            <w:r>
              <w:t>Ошибки</w:t>
            </w:r>
          </w:p>
        </w:tc>
        <w:tc>
          <w:tcPr>
            <w:tcW w:type="dxa" w:w="4677"/>
          </w:tcPr>
          <w:p>
            <w:r>
              <w:t>Ошибка чтения → unknown; неверная структура → incomplete; отличие поля → mismatch.</w:t>
            </w:r>
          </w:p>
        </w:tc>
      </w:tr>
      <w:tr>
        <w:tc>
          <w:tcPr>
            <w:tcW w:type="dxa" w:w="4677"/>
          </w:tcPr>
          <w:p>
            <w:r>
              <w:t>Владение</w:t>
            </w:r>
          </w:p>
        </w:tc>
        <w:tc>
          <w:tcPr>
            <w:tcW w:type="dxa" w:w="4677"/>
          </w:tcPr>
          <w:p>
            <w:r>
              <w:t>Consumer владеет портом; adapter читает observation; provenance обязателен.</w:t>
            </w:r>
          </w:p>
        </w:tc>
      </w:tr>
      <w:tr>
        <w:tc>
          <w:tcPr>
            <w:tcW w:type="dxa" w:w="4677"/>
          </w:tcPr>
          <w:p>
            <w:r>
              <w:t>Побочные эффекты</w:t>
            </w:r>
          </w:p>
        </w:tc>
        <w:tc>
          <w:tcPr>
            <w:tcW w:type="dxa" w:w="4677"/>
          </w:tcPr>
          <w:p>
            <w:r>
              <w:t>Только чтение; сеть, БД, retry и переходы состояния не выполняются.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Публичный контракт и существенная реализация]</w:t>
            </w:r>
          </w:p>
        </w:tc>
      </w:tr>
    </w:tbl>
    <w:p>
      <w:pPr>
        <w:spacing w:before="40" w:after="160"/>
        <w:jc w:val="center"/>
      </w:pPr>
      <w:r>
        <w:t>Рисунок 1 — Публичный контракт и существенная реализация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Документация модуля по стандарту стека]</w:t>
            </w:r>
          </w:p>
        </w:tc>
      </w:tr>
    </w:tbl>
    <w:p>
      <w:pPr>
        <w:spacing w:before="40" w:after="160"/>
        <w:jc w:val="center"/>
      </w:pPr>
      <w:r>
        <w:t>Рисунок 2 — Документация модуля по стандарту стека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Один потребитель и две подключаемые реализации]</w:t>
            </w:r>
          </w:p>
        </w:tc>
      </w:tr>
    </w:tbl>
    <w:p>
      <w:pPr>
        <w:spacing w:before="40" w:after="160"/>
        <w:jc w:val="center"/>
      </w:pPr>
      <w:r>
        <w:t>Рисунок 3 — Один потребитель и две подключаемые реализации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Сценарий и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FileReader normal: Match; saved target/source/time accepted; log di-contract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fake TargetReader in tests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test double normal: Match; same VerifyTarget call and same expected projection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Модульная карта с легендой и статусами]</w:t>
            </w:r>
          </w:p>
        </w:tc>
      </w:tr>
    </w:tbl>
    <w:p>
      <w:pPr>
        <w:spacing w:before="40" w:after="160"/>
        <w:jc w:val="center"/>
      </w:pPr>
      <w:r>
        <w:t>Рисунок 4 — Модульная карта с легендой и статусами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будет выполнена отдельно по учебной инструкции;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Направление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Свой объект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domain → application via typed result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Expected/Observation projections; no provider schema rewrite;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unknown; explicit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application → TargetReader via consumer-owned interface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Проверка выполняется по отдельной учебной процедуре.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Can the verifier write or retry?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будет выполнена отдельно по учебной инструкции: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Адаптер</w:t>
            </w:r>
          </w:p>
        </w:tc>
        <w:tc>
          <w:tcPr>
            <w:tcW w:type="dxa" w:w="2339"/>
          </w:tcPr>
          <w:p>
            <w:r>
              <w:t>Сценарий</w:t>
            </w:r>
          </w:p>
        </w:tc>
        <w:tc>
          <w:tcPr>
            <w:tcW w:type="dxa" w:w="2339"/>
          </w:tcPr>
          <w:p>
            <w:r>
              <w:t>Ожидание</w:t>
            </w:r>
          </w:p>
        </w:tc>
        <w:tc>
          <w:tcPr>
            <w:tcW w:type="dxa" w:w="2339"/>
          </w:tcPr>
          <w:p>
            <w:r>
              <w:t>Факт / тест</w:t>
            </w:r>
          </w:p>
        </w:tc>
      </w:tr>
      <w:tr>
        <w:tc>
          <w:tcPr>
            <w:tcW w:type="dxa" w:w="2339"/>
          </w:tcPr>
          <w:p>
            <w:r>
              <w:t>FileReader</w:t>
            </w:r>
          </w:p>
        </w:tc>
        <w:tc>
          <w:tcPr>
            <w:tcW w:type="dxa" w:w="2339"/>
          </w:tcPr>
          <w:p>
            <w:r>
              <w:t>Обычный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target-1; fixture-file</w:t>
            </w:r>
          </w:p>
        </w:tc>
      </w:tr>
      <w:tr>
        <w:tc>
          <w:tcPr>
            <w:tcW w:type="dxa" w:w="2339"/>
          </w:tcPr>
          <w:p>
            <w:r>
              <w:t>FileReader</w:t>
            </w:r>
          </w:p>
        </w:tc>
        <w:tc>
          <w:tcPr>
            <w:tcW w:type="dxa" w:w="2339"/>
          </w:tcPr>
          <w:p>
            <w:r>
              <w:t>Граница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Context 1000 знаков; boundary.json</w:t>
            </w:r>
          </w:p>
        </w:tc>
      </w:tr>
      <w:tr>
        <w:tc>
          <w:tcPr>
            <w:tcW w:type="dxa" w:w="2339"/>
          </w:tcPr>
          <w:p>
            <w:r>
              <w:t>FileReader</w:t>
            </w:r>
          </w:p>
        </w:tc>
        <w:tc>
          <w:tcPr>
            <w:tcW w:type="dxa" w:w="2339"/>
          </w:tcPr>
          <w:p>
            <w:r>
              <w:t>Ошибка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Нет JSON; os error</w:t>
            </w:r>
          </w:p>
        </w:tc>
      </w:tr>
      <w:tr>
        <w:tc>
          <w:tcPr>
            <w:tcW w:type="dxa" w:w="2339"/>
          </w:tcPr>
          <w:p>
            <w:r>
              <w:t>Test double</w:t>
            </w:r>
          </w:p>
        </w:tc>
        <w:tc>
          <w:tcPr>
            <w:tcW w:type="dxa" w:w="2339"/>
          </w:tcPr>
          <w:p>
            <w:r>
              <w:t>Обычный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Observation + provenance</w:t>
            </w:r>
          </w:p>
        </w:tc>
      </w:tr>
      <w:tr>
        <w:tc>
          <w:tcPr>
            <w:tcW w:type="dxa" w:w="2339"/>
          </w:tcPr>
          <w:p>
            <w:r>
              <w:t>Test double</w:t>
            </w:r>
          </w:p>
        </w:tc>
        <w:tc>
          <w:tcPr>
            <w:tcW w:type="dxa" w:w="2339"/>
          </w:tcPr>
          <w:p>
            <w:r>
              <w:t>Граница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Quote-safe context 1000</w:t>
            </w:r>
          </w:p>
        </w:tc>
      </w:tr>
      <w:tr>
        <w:tc>
          <w:tcPr>
            <w:tcW w:type="dxa" w:w="2339"/>
          </w:tcPr>
          <w:p>
            <w:r>
              <w:t>Test double</w:t>
            </w:r>
          </w:p>
        </w:tc>
        <w:tc>
          <w:tcPr>
            <w:tcW w:type="dxa" w:w="2339"/>
          </w:tcPr>
          <w:p>
            <w:r>
              <w:t>Ошибка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os.ErrNotExist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Проверки с обеими реализациями]</w:t>
            </w:r>
          </w:p>
        </w:tc>
      </w:tr>
    </w:tbl>
    <w:p>
      <w:pPr>
        <w:spacing w:before="40" w:after="160"/>
        <w:jc w:val="center"/>
      </w:pPr>
      <w:r>
        <w:t>Рисунок 5 — Проверки с обеими реализациями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будет выполнена отдельно по учебной инструкции. Замечания и повторная проверка после исправлений проверка будет выполнена отдельно по учебной инструкции. Реальная проверка другим студентом, без имитации self-review.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6 — Реальная взаимная проверка модуля другого студента]</w:t>
            </w:r>
          </w:p>
        </w:tc>
      </w:tr>
    </w:tbl>
    <w:p>
      <w:pPr>
        <w:spacing w:before="40" w:after="160"/>
        <w:jc w:val="center"/>
      </w:pPr>
      <w:r>
        <w:t>Рисунок 6 — Реальная взаимная проверка модуля другого студента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https://github.com/hitpipe/hitpipe/blob/work/HIT-47-ds-corrections/services/delivery/docs/module-contract.md. Шаг 2: в тексте найдите VerifyTarget. Шаг 3: второй вкладкой откройте https://github.com/hitpipe/hitpipe/blob/work/HIT-47-ds-corrections/services/delivery/internal/application/verifytarget/verifytarget.go. Шаг 4: расположите вкладки рядом или сделайте два снимка и объедините их в один рисунок. Должны быть видны название операции и её результат. Сохраните как 0104-pz02-fig01.png. Подпись: «Публичный контракт и основная реализация».</w:t>
      </w:r>
    </w:p>
    <w:p>
      <w:r>
        <w:t>Рисунок 2. Шаг 1: откройте фактическую документацию модуля по ссылке https://github.com/hitpipe/hitpipe/blob/work/HIT-47-ds-corrections/services/delivery/docs/module-contract.md. Шаг 2: найдите заголовки «Inputs and projection», «Outcomes and precedence» и «Replacements and evidence». Шаг 3: покажите, что документ описывает входные данные, результаты match/mismatch/incomplete/unknown, строгий разбор JSON и отсутствие сетевых и записывающих побочных эффектов. Шаг 4: снимите URL, название файла и эти разделы. Сохраните как 0104-pz02-fig02.png. Подпись: «Документация модуля по стандарту стека».</w:t>
      </w:r>
    </w:p>
    <w:p>
      <w:r>
        <w:t>Рисунок 3. Откройте два файла напрямую, не ищите слово по всему PR: 1) https://github.com/hitpipe/hitpipe/blob/work/HIT-47-ds-corrections/services/delivery/internal/application/verifytarget/verifytarget.go#L10-L13 — здесь показан интерфейс TargetReader; 2) https://github.com/hitpipe/hitpipe/blob/work/HIT-47-ds-corrections/services/delivery/internal/application/verifytarget/verifytarget.go#L37-L50 — здесь показан VerifyTarget и вызов v.reader.Read; 3) https://github.com/hitpipe/hitpipe/blob/work/HIT-47-ds-corrections/services/delivery/internal/adapters/fixtures/targetreader/file_reader.go#L13-L17 — здесь показан FileReader; 4) https://github.com/hitpipe/hitpipe/blob/work/HIT-47-ds-corrections/services/delivery/internal/adapters/fixtures/targetreader/file_reader.go#L26-L53 — здесь показано чтение сохранённого наблюдения без обращения к провайдеру. Сделайте два последовательных снимка: сначала verifytarget.go со строками 10–13 и 37–50, затем file_reader.go со строками 13–17 и 26–53. На снимках должны быть видны имя файла, URL и строки кода. Сохраните как 0104-pz02-fig03-1.png и 0104-pz02-fig03-2.png. Подпись: «Один потребитель и две подключаемые реализации».</w:t>
      </w:r>
    </w:p>
    <w:p>
      <w:r>
        <w:t>Рисунок 4. Шаг 1: откройте https://github.com/hitpipe/hitpipe/tree/work/HIT-47-ds-corrections/docs/labs/pr12/ds. Шаг 2: найдите файл module-map.md. Шаг 3: если файла не видно, нажмите поиск репозитория и введите module-map. Шаг 4: откройте файл и найдите строки TargetReadback и VerifyTarget. Снимите их вместе со связями и статусами. Сохраните как 0104-pz02-fig04.png. Подпись: «Карта модулей проекта».</w:t>
      </w:r>
    </w:p>
    <w:p>
      <w:r>
        <w:t>Рисунок 5. Шаг 1: откройте PowerShell. Шаг 2: выполните Set-Location C:\projects\hitpipe\services\delivery. Шаг 3: выполните go test ./internal/adapters/fixtures/targetreader -run TestFileReaderAndDoubleShareVerifyTargetContract -v. Шаг 4: дождитесь строк PASS и итогового exit code 0. Снимите команду, имя теста и результат. Сохраните как 0104-pz02-fig05.png. Подпись: «Проверка контракта чтения файла».</w:t>
      </w:r>
    </w:p>
    <w:p>
      <w:r>
        <w:t>Рисунок 6. Шаг 1: откройте https://hitpipe.atlassian.net/browse/HIT-42. Шаг 2: найдите комментарий или вложение с взаимной проверкой. Шаг 3: покажите название модуля, дату и результат, но не личную переписку. Если такого материала нет, снимок не делайте. Сохраните как 0104-pz02-fig06.png. Подпись: «Реальная взаимная проверка модуля другого студента».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