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Шаблон адаптирован к приложенной актуальной методичке. Это НЕ выполненный отчёт. Автор заполняет только фактические результаты со ссылками на commit, команды и журналы. Агент не делает и не генерирует скриншоты: каждый рисунок вставляет студент по инструкции. После заполнения текста, таблиц, ссылок и точных инструкций, но до вставки реальных изображений, допустим статус CONTENT_READY_IMAGES_PENDING; он не означает готовность к сдаче. Непроведённые действия имеют статус NOT RUN, реальные ограничения — BLOCKED. Независимые проверки, оппонирование, разговор с пользователем и подписи нельзя имитировать. Перед экспортом обновить оглавление и номера страниц в Word/LibreOffice.</w:t>
      </w:r>
    </w:p>
    <w:p>
      <w:r>
        <w:t>Экспортная форма подготовлена по разделу 5 и приложению А актуальной методички МДК01.04. Отдельного исходного шаблона преподавателя для этой дисциплины во вложениях нет. Совместную сдачу с отчётом другого МДК не считать автоматически разрешённой.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c>
          <w:tcPr>
            <w:tcW w:type="dxa" w:w="4677"/>
          </w:tcPr>
          <w:p>
            <w:r>
              <w:t>ФИО, группа</w:t>
            </w:r>
          </w:p>
        </w:tc>
        <w:tc>
          <w:tcPr>
            <w:tcW w:type="dxa" w:w="4677"/>
          </w:tcPr>
          <w:p>
            <w:r>
              <w:t>{{student_name}}, {{group}}</w:t>
            </w:r>
          </w:p>
        </w:tc>
      </w:tr>
      <w:tr>
        <w:tc>
          <w:tcPr>
            <w:tcW w:type="dxa" w:w="4677"/>
          </w:tcPr>
          <w:p>
            <w:r>
              <w:t>Проект и команда</w:t>
            </w:r>
          </w:p>
        </w:tc>
        <w:tc>
          <w:tcPr>
            <w:tcW w:type="dxa" w:w="4677"/>
          </w:tcPr>
          <w:p>
            <w:r>
              <w:t>HitPipe; пять участников</w:t>
            </w:r>
          </w:p>
        </w:tc>
      </w:tr>
      <w:tr>
        <w:tc>
          <w:tcPr>
            <w:tcW w:type="dxa" w:w="4677"/>
          </w:tcPr>
          <w:p>
            <w:r>
              <w:t>Собственная зона/компонент</w:t>
            </w:r>
          </w:p>
        </w:tc>
        <w:tc>
          <w:tcPr>
            <w:tcW w:type="dxa" w:w="4677"/>
          </w:tcPr>
          <w:p>
            <w:r>
              <w:t>{{component_name}} / {{module_path}}</w:t>
            </w:r>
          </w:p>
        </w:tc>
      </w:tr>
      <w:tr>
        <w:tc>
          <w:tcPr>
            <w:tcW w:type="dxa" w:w="4677"/>
          </w:tcPr>
          <w:p>
            <w:r>
              <w:t>Тег → commit</w:t>
            </w:r>
          </w:p>
        </w:tc>
        <w:tc>
          <w:tcPr>
            <w:tcW w:type="dxa" w:w="4677"/>
          </w:tcPr>
          <w:p>
            <w:r>
              <w:t>0104-pz02-{{student_code}}-v1 → {{submission_commit}}</w:t>
            </w:r>
          </w:p>
        </w:tc>
      </w:tr>
      <w:tr>
        <w:tc>
          <w:tcPr>
            <w:tcW w:type="dxa" w:w="4677"/>
          </w:tcPr>
          <w:p>
            <w:r>
              <w:t>Репозиторий</w:t>
            </w:r>
          </w:p>
        </w:tc>
        <w:tc>
          <w:tcPr>
            <w:tcW w:type="dxa" w:w="4677"/>
          </w:tcPr>
          <w:p>
            <w:r>
              <w:t>{{repository_url}}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ответственности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TEMPLATE_UNFILLED</w:t>
            </w:r>
          </w:p>
        </w:tc>
      </w:tr>
    </w:tbl>
    <w:p>
      <w:pPr>
        <w:pStyle w:val="af7"/>
      </w:pPr>
      <w:r>
        <w:t>2 Цель, проект и место модуля</w:t>
      </w:r>
    </w:p>
    <w:p>
      <w:r>
        <w:t>Цель: выделить модуль с содержательным правилом, контрактом и заменяемой реализацией. Цепочка: {{requirement_id}} → {{responsibility}} → {{public_operation}} → {{consumer}}. Вне границы: {{external_duties}}. Модульная карта {{module_map_url_revision}}; своя запись и автор {{student_name}}. Интерфейс/заглушка без реализованной логики не является результатом.</w:t>
      </w:r>
    </w:p>
    <w:p>
      <w:pPr>
        <w:pStyle w:val="af7"/>
      </w:pPr>
      <w:r>
        <w:t>3 Ход работы</w:t>
      </w:r>
    </w:p>
    <w:p>
      <w:pPr>
        <w:pStyle w:val="afa"/>
      </w:pPr>
      <w:r>
        <w:t>3.1 Контракт и документация до демонстрации реализации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Часть контракта</w:t>
            </w:r>
          </w:p>
        </w:tc>
        <w:tc>
          <w:tcPr>
            <w:tcW w:type="dxa" w:w="4677"/>
          </w:tcPr>
          <w:p>
            <w:r>
              <w:t>Решение и источник</w:t>
            </w:r>
          </w:p>
        </w:tc>
      </w:tr>
      <w:tr>
        <w:tc>
          <w:tcPr>
            <w:tcW w:type="dxa" w:w="4677"/>
          </w:tcPr>
          <w:p>
            <w:r>
              <w:t>Назначение и публичная операция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  <w:tr>
        <w:tc>
          <w:tcPr>
            <w:tcW w:type="dxa" w:w="4677"/>
          </w:tcPr>
          <w:p>
            <w:r>
              <w:t>Допустимые входы и предусловия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  <w:tr>
        <w:tc>
          <w:tcPr>
            <w:tcW w:type="dxa" w:w="4677"/>
          </w:tcPr>
          <w:p>
            <w:r>
              <w:t>Результат и постусловия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  <w:tr>
        <w:tc>
          <w:tcPr>
            <w:tcW w:type="dxa" w:w="4677"/>
          </w:tcPr>
          <w:p>
            <w:r>
              <w:t>Категории ошибок и порядок при нескольких нарушениях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  <w:tr>
        <w:tc>
          <w:tcPr>
            <w:tcW w:type="dxa" w:w="4677"/>
          </w:tcPr>
          <w:p>
            <w:r>
              <w:t>Владение входом/выходом, срок действия ссылок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  <w:tr>
        <w:tc>
          <w:tcPr>
            <w:tcW w:type="dxa" w:w="4677"/>
          </w:tcPr>
          <w:p>
            <w:r>
              <w:t>Состояние и побочные эффекты, явно если отсутствуют</w:t>
            </w:r>
          </w:p>
        </w:tc>
        <w:tc>
          <w:tcPr>
            <w:tcW w:type="dxa" w:w="4677"/>
          </w:tcPr>
          <w:p>
            <w:r>
              <w:t>{{decision_source}}</w:t>
            </w:r>
          </w:p>
        </w:tc>
      </w:tr>
    </w:tbl>
    <w:p>
      <w:r>
        <w:t>Контракт рядом с кодом {{module_contract_path}}; документация стандартом стека {{documentation_standard}} содержит назначение, вход, результат, ошибки, зависимости и пример. Рисунки 1–2.</w:t>
      </w:r>
    </w:p>
    <w:p>
      <w:pPr>
        <w:pStyle w:val="afa"/>
      </w:pPr>
      <w:r>
        <w:t>3.2 Реализация и интеграция</w:t>
      </w:r>
    </w:p>
    <w:p>
      <w:r>
        <w:t>Собственная существенная логика {{implemented_rule}} в {{module_path}} реально вызывается потребителем {{consumer_path}} без зависимости от внутренних структур. Задача/ветка/PR/проверки/независимый review/merge {{links}}. Сборка, конфигурация, версия и диагностика ПР1 сохраняются. Рисунок 1.</w:t>
      </w:r>
    </w:p>
    <w:p>
      <w:pPr>
        <w:pStyle w:val="afa"/>
      </w:pPr>
      <w:r>
        <w:t>3.3 Подмена за одной границей без изменения потребителя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Как выбирается в точке сборки</w:t>
            </w:r>
          </w:p>
        </w:tc>
        <w:tc>
          <w:tcPr>
            <w:tcW w:type="dxa" w:w="2339"/>
          </w:tcPr>
          <w:p>
            <w:r>
              <w:t>Сценарий и результат</w:t>
            </w:r>
          </w:p>
        </w:tc>
        <w:tc>
          <w:tcPr>
            <w:tcW w:type="dxa" w:w="2339"/>
          </w:tcPr>
          <w:p>
            <w:r>
              <w:t>Ограничения доказательства</w:t>
            </w:r>
          </w:p>
        </w:tc>
      </w:tr>
      <w:tr>
        <w:tc>
          <w:tcPr>
            <w:tcW w:type="dxa" w:w="2339"/>
          </w:tcPr>
          <w:p>
            <w:r>
              <w:t>{{implementation_a}}</w:t>
            </w:r>
          </w:p>
        </w:tc>
        <w:tc>
          <w:tcPr>
            <w:tcW w:type="dxa" w:w="2339"/>
          </w:tcPr>
          <w:p>
            <w:r>
              <w:t>{{composition_root}}</w:t>
            </w:r>
          </w:p>
        </w:tc>
        <w:tc>
          <w:tcPr>
            <w:tcW w:type="dxa" w:w="2339"/>
          </w:tcPr>
          <w:p>
            <w:r>
              <w:t>NOT RUN / {{same_scenario}}</w:t>
            </w:r>
          </w:p>
        </w:tc>
        <w:tc>
          <w:tcPr>
            <w:tcW w:type="dxa" w:w="2339"/>
          </w:tcPr>
          <w:p>
            <w:r>
              <w:t>{{limits_a}}</w:t>
            </w:r>
          </w:p>
        </w:tc>
      </w:tr>
      <w:tr>
        <w:tc>
          <w:tcPr>
            <w:tcW w:type="dxa" w:w="2339"/>
          </w:tcPr>
          <w:p>
            <w:r>
              <w:t>{{implementation_b}}</w:t>
            </w:r>
          </w:p>
        </w:tc>
        <w:tc>
          <w:tcPr>
            <w:tcW w:type="dxa" w:w="2339"/>
          </w:tcPr>
          <w:p>
            <w:r>
              <w:t>{{composition_root}}</w:t>
            </w:r>
          </w:p>
        </w:tc>
        <w:tc>
          <w:tcPr>
            <w:tcW w:type="dxa" w:w="2339"/>
          </w:tcPr>
          <w:p>
            <w:r>
              <w:t>NOT RUN / {{same_scenario}}</w:t>
            </w:r>
          </w:p>
        </w:tc>
        <w:tc>
          <w:tcPr>
            <w:tcW w:type="dxa" w:w="2339"/>
          </w:tcPr>
          <w:p>
            <w:r>
              <w:t>{{limits_b}}</w:t>
            </w:r>
          </w:p>
        </w:tc>
      </w:tr>
    </w:tbl>
    <w:p>
      <w:r>
        <w:t>Доказательство неизменности потребителя {{consumer_hash_or_shared_callsite}}; обе реализации одного контракта (либо подмена зависимости потребителя) выполняют один сценарий. Переписанный потребитель подменой не считается. Рисунок 3.</w:t>
      </w:r>
    </w:p>
    <w:p>
      <w:pPr>
        <w:pStyle w:val="afa"/>
      </w:pPr>
      <w:r>
        <w:t>3.4 Запись на общей модульной карте</w:t>
      </w:r>
    </w:p>
    <w:p>
      <w:r>
        <w:t>Имя, ответственность, контракт, зависимости исходного кода, путь, статус «работает/план», автор. A→B означает зависимость исходного кода A от контракта/типов B; направление вызова может отличаться. Проверено по реальным импортам и сборке {{import_check_command_log}}; циклы объяснены {{cycle_analysis}}. Будущие части не показывать работающими. Рисунок 4.</w:t>
      </w:r>
    </w:p>
    <w:p>
      <w:pPr>
        <w:pStyle w:val="afa"/>
      </w:pPr>
      <w:r>
        <w:t>3.5 Два направления сложности, существующий модуль-кандидат и личный ADR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Направление</w:t>
            </w:r>
          </w:p>
        </w:tc>
        <w:tc>
          <w:tcPr>
            <w:tcW w:type="dxa" w:w="2339"/>
          </w:tcPr>
          <w:p>
            <w:r>
              <w:t>Свой объект</w:t>
            </w:r>
          </w:p>
        </w:tc>
        <w:tc>
          <w:tcPr>
            <w:tcW w:type="dxa" w:w="2339"/>
          </w:tcPr>
          <w:p>
            <w:r>
              <w:t>Будущий исследовательский вопрос</w:t>
            </w:r>
          </w:p>
        </w:tc>
        <w:tc>
          <w:tcPr>
            <w:tcW w:type="dxa" w:w="2339"/>
          </w:tcPr>
          <w:p>
            <w:r>
              <w:t>Текущая готовность</w:t>
            </w:r>
          </w:p>
        </w:tc>
      </w:tr>
      <w:tr>
        <w:tc>
          <w:tcPr>
            <w:tcW w:type="dxa" w:w="2339"/>
          </w:tcPr>
          <w:p>
            <w:r>
              <w:t>{{direction_1}}</w:t>
            </w:r>
          </w:p>
        </w:tc>
        <w:tc>
          <w:tcPr>
            <w:tcW w:type="dxa" w:w="2339"/>
          </w:tcPr>
          <w:p>
            <w:r>
              <w:t>{{own_object_1}}</w:t>
            </w:r>
          </w:p>
        </w:tc>
        <w:tc>
          <w:tcPr>
            <w:tcW w:type="dxa" w:w="2339"/>
          </w:tcPr>
          <w:p>
            <w:r>
              <w:t>{{question_1}}</w:t>
            </w:r>
          </w:p>
        </w:tc>
        <w:tc>
          <w:tcPr>
            <w:tcW w:type="dxa" w:w="2339"/>
          </w:tcPr>
          <w:p>
            <w:r>
              <w:t>{{readiness_1}}</w:t>
            </w:r>
          </w:p>
        </w:tc>
      </w:tr>
      <w:tr>
        <w:tc>
          <w:tcPr>
            <w:tcW w:type="dxa" w:w="2339"/>
          </w:tcPr>
          <w:p>
            <w:r>
              <w:t>{{direction_2}}</w:t>
            </w:r>
          </w:p>
        </w:tc>
        <w:tc>
          <w:tcPr>
            <w:tcW w:type="dxa" w:w="2339"/>
          </w:tcPr>
          <w:p>
            <w:r>
              <w:t>{{own_object_2}}</w:t>
            </w:r>
          </w:p>
        </w:tc>
        <w:tc>
          <w:tcPr>
            <w:tcW w:type="dxa" w:w="2339"/>
          </w:tcPr>
          <w:p>
            <w:r>
              <w:t>{{question_2}}</w:t>
            </w:r>
          </w:p>
        </w:tc>
        <w:tc>
          <w:tcPr>
            <w:tcW w:type="dxa" w:w="2339"/>
          </w:tcPr>
          <w:p>
            <w:r>
              <w:t>{{readiness_2}}</w:t>
            </w:r>
          </w:p>
        </w:tc>
      </w:tr>
    </w:tbl>
    <w:p>
      <w:r>
        <w:t>Модуль-кандидат уже существует в {{candidate_path}}, изолированный воспроизводимый вход {{candidate_input}}, наблюдение {{candidate_observation}}. Узким местом без измерений не объявлять. Личный ADR {{personal_adr_path}}: автор {{student_name}}, контекст, варианты, решение о границе, последствия и цена (типы, копирование, косвенность), способ проверки. Общий ADR архитектора не заменяет собственное обоснование студента.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обеих реализаций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Случай</w:t>
            </w:r>
          </w:p>
        </w:tc>
        <w:tc>
          <w:tcPr>
            <w:tcW w:type="dxa" w:w="2339"/>
          </w:tcPr>
          <w:p>
            <w:r>
              <w:t>Ожидаемый по контракту результат</w:t>
            </w:r>
          </w:p>
        </w:tc>
        <w:tc>
          <w:tcPr>
            <w:tcW w:type="dxa" w:w="2339"/>
          </w:tcPr>
          <w:p>
            <w:r>
              <w:t>Фактический результат, команда, журнал</w:t>
            </w:r>
          </w:p>
        </w:tc>
      </w:tr>
      <w:tr>
        <w:tc>
          <w:tcPr>
            <w:tcW w:type="dxa" w:w="2339"/>
          </w:tcPr>
          <w:p>
            <w:r>
              <w:t>{{implementation_a}}</w:t>
            </w:r>
          </w:p>
        </w:tc>
        <w:tc>
          <w:tcPr>
            <w:tcW w:type="dxa" w:w="2339"/>
          </w:tcPr>
          <w:p>
            <w:r>
              <w:t>Штатный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  <w:tr>
        <w:tc>
          <w:tcPr>
            <w:tcW w:type="dxa" w:w="2339"/>
          </w:tcPr>
          <w:p>
            <w:r>
              <w:t>{{implementation_a}}</w:t>
            </w:r>
          </w:p>
        </w:tc>
        <w:tc>
          <w:tcPr>
            <w:tcW w:type="dxa" w:w="2339"/>
          </w:tcPr>
          <w:p>
            <w:r>
              <w:t>Граничный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  <w:tr>
        <w:tc>
          <w:tcPr>
            <w:tcW w:type="dxa" w:w="2339"/>
          </w:tcPr>
          <w:p>
            <w:r>
              <w:t>{{implementation_a}}</w:t>
            </w:r>
          </w:p>
        </w:tc>
        <w:tc>
          <w:tcPr>
            <w:tcW w:type="dxa" w:w="2339"/>
          </w:tcPr>
          <w:p>
            <w:r>
              <w:t>Ошибочный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  <w:tr>
        <w:tc>
          <w:tcPr>
            <w:tcW w:type="dxa" w:w="2339"/>
          </w:tcPr>
          <w:p>
            <w:r>
              <w:t>{{implementation_b}}</w:t>
            </w:r>
          </w:p>
        </w:tc>
        <w:tc>
          <w:tcPr>
            <w:tcW w:type="dxa" w:w="2339"/>
          </w:tcPr>
          <w:p>
            <w:r>
              <w:t>Штатный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  <w:tr>
        <w:tc>
          <w:tcPr>
            <w:tcW w:type="dxa" w:w="2339"/>
          </w:tcPr>
          <w:p>
            <w:r>
              <w:t>{{implementation_b}}</w:t>
            </w:r>
          </w:p>
        </w:tc>
        <w:tc>
          <w:tcPr>
            <w:tcW w:type="dxa" w:w="2339"/>
          </w:tcPr>
          <w:p>
            <w:r>
              <w:t>Граничный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  <w:tr>
        <w:tc>
          <w:tcPr>
            <w:tcW w:type="dxa" w:w="2339"/>
          </w:tcPr>
          <w:p>
            <w:r>
              <w:t>{{implementation_b}}</w:t>
            </w:r>
          </w:p>
        </w:tc>
        <w:tc>
          <w:tcPr>
            <w:tcW w:type="dxa" w:w="2339"/>
          </w:tcPr>
          <w:p>
            <w:r>
              <w:t>Ошибочный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 / {{evidence}}</w:t>
            </w:r>
          </w:p>
        </w:tc>
      </w:tr>
    </w:tbl>
    <w:p>
      <w:r>
        <w:t>Рисунок 5 показывает фактические прогоны обоих наборов, не только объявленные тесты.</w:t>
      </w:r>
    </w:p>
    <w:p>
      <w:pPr>
        <w:pStyle w:val="afa"/>
      </w:pPr>
      <w:r>
        <w:t>4.2 Взаимная проверка модуля другого студента</w:t>
      </w:r>
    </w:p>
    <w:p>
      <w:r>
        <w:t>Проверяющий {{student_name}}, дата {{date}}, автор/модуль другого студента {{peer_module_author}}, commit {{peer_commit}}, команды сборки, штатный/граничный/ошибочный случаи, подмена и сверка карты {{protocol_url_log}}. Замечания и повторная проверка после исправлений {{resolution}}. Реальная проверка другим студентом, без имитации self-review. Рисунок 6.</w:t>
      </w:r>
    </w:p>
    <w:p>
      <w:pPr>
        <w:pStyle w:val="af7"/>
      </w:pPr>
      <w:r>
        <w:t>5 Заключение и индивидуальный вклад</w:t>
      </w:r>
    </w:p>
    <w:p>
      <w:r>
        <w:t>По фактическим результатам описать реализованный контракт, интеграцию, подмену и границы вывода, соответствие карты, собственный ADR, независимую проверку. Неизменяемый тег 0104-pz02-{{student_code}}-v1; доработка новым v2. Защита самостоятельно без генеративного AI.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заполнить реальным снимком вручную. До выдачи инструкции студенту агент обязан заменить все {{...}} в инструкции фактическими URL, путями, командами, SHA, тегом и именами из выполненной задачи. Неразрешённый адрес или команда не считаются готовой инструкцией. Если действие не выполнено, отметить NOT RUN/BLOCKED и конкретное действие ответственного человека; не рисовать подтверждение.</w:t>
      </w:r>
    </w:p>
    <w:p>
      <w:pPr>
        <w:pStyle w:val="afa"/>
      </w:pPr>
      <w:r>
        <w:t>Рисунок 1 — Публичный контракт и существенная реализация</w:t>
      </w:r>
    </w:p>
    <w:p>
      <w:r>
        <w:t>[ВСТАВИТЬ РЕАЛЬНОЕ ИЗОБРАЖЕНИЕ ВРУЧНУЮ: 0104-pz02-01.png]</w:t>
      </w:r>
    </w:p>
    <w:p>
      <w:r>
        <w:t>Что открыть/выполнить: Открыть {{repository_url}}/blob/{{submission_commit}}/{{module_source_path}}#L{{module_start_line}}-L{{module_end_line}} и {{module_contract_path}}. Показать публичную операцию, часть собственной реализации и определённые вход/выход/ошибки; указать версию.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docs/labs/pr12/{{student_code}}/evidence/screenshots/0104-pz02-01.png. Подпись: «Рисунок 1 — Публичный контракт и существенная реализация».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Документация модуля по стандарту стека</w:t>
      </w:r>
    </w:p>
    <w:p>
      <w:r>
        <w:t>[ВСТАВИТЬ РЕАЛЬНОЕ ИЗОБРАЖЕНИЕ ВРУЧНУЮ: 0104-pz02-02.png]</w:t>
      </w:r>
    </w:p>
    <w:p>
      <w:r>
        <w:t>Что открыть/выполнить: Открыть {{module_documentation_url_or_path}}, полученную командой {{module_documentation_command}} либо встроенные GoDoc/TSDoc/docstring. Показать назначение, входы, результат, ошибки, зависимости и пример использования; документация относится к {{submission_commit}}.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docs/labs/pr12/{{student_code}}/evidence/screenshots/0104-pz02-02.png. Подпись: «Рисунок 2 — Документация модуля по стандарту стека».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Один потребитель и две подключаемые реализации</w:t>
      </w:r>
    </w:p>
    <w:p>
      <w:r>
        <w:t>[ВСТАВИТЬ РЕАЛЬНОЕ ИЗОБРАЖЕНИЕ ВРУЧНУЮ: 0104-pz02-03.png]</w:t>
      </w:r>
    </w:p>
    <w:p>
      <w:r>
        <w:t>Что открыть/выполнить: Открыть {{composition_root_path}} и неизменённый {{consumer_source_path}}. Выполнить {{replacement_demo_command}} для одного сценария с реализациями {{implementation_a}} и {{implementation_b}}. Показать точку сборки/DI, оба результата и доказательство неизменности потребителя; ограничения подмены указать в тексте.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docs/labs/pr12/{{student_code}}/evidence/screenshots/0104-pz02-03.png. Подпись: «Рисунок 3 — Один потребитель и две подключаемые реализации».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Модульная карта с легендой и статусами</w:t>
      </w:r>
    </w:p>
    <w:p>
      <w:r>
        <w:t>[ВСТАВИТЬ РЕАЛЬНОЕ ИЗОБРАЖЕНИЕ ВРУЧНУЮ: 0104-pz02-04.png]</w:t>
      </w:r>
    </w:p>
    <w:p>
      <w:r>
        <w:t>Что открыть/выполнить: Открыть {{module_map_url_or_path}} на версии {{submission_commit}}. Показать собственный модуль, ответственность, публичный контракт, зависимости, пути, автора, статусы «работает/план» и легенду направления стрелок. Карта должна соответствовать реальным импортам, а не будущей схеме.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docs/labs/pr12/{{student_code}}/evidence/screenshots/0104-pz02-04.png. Подпись: «Рисунок 4 — Модульная карта с легендой и статусами».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Проверки с обеими реализациями</w:t>
      </w:r>
    </w:p>
    <w:p>
      <w:r>
        <w:t>[ВСТАВИТЬ РЕАЛЬНОЕ ИЗОБРАЖЕНИЕ ВРУЧНУЮ: 0104-pz02-05.png]</w:t>
      </w:r>
    </w:p>
    <w:p>
      <w:r>
        <w:t>Что открыть/выполнить: Выполнить {{both_implementations_test_command}} на {{submission_commit}}. Показать обе реализации, штатный, граничный и ошибочный случаи для каждой, ожидаемые/фактические результаты и итог/код завершения.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docs/labs/pr12/{{student_code}}/evidence/screenshots/0104-pz02-05.png. Подпись: «Рисунок 5 — Проверки с обеими реализациями».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6 — Реальная взаимная проверка модуля другого студента</w:t>
      </w:r>
    </w:p>
    <w:p>
      <w:r>
        <w:t>[ВСТАВИТЬ РЕАЛЬНОЕ ИЗОБРАЖЕНИЕ ВРУЧНУЮ: 0104-pz02-06.png]</w:t>
      </w:r>
    </w:p>
    <w:p>
      <w:r>
        <w:t>Что открыть/выполнить: После независимой проверки открыть {{module_peer_review_protocol_url_or_path}} и {{module_peer_review_log_path}}. Показать имя проверяющего, дату, автора/название чужого модуля, commit, команды сборки, случаи контракта, подмену, сверку карты и замечания/повторный прогон. Агентский self-review не заменяет проверку другого студента.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docs/labs/pr12/{{student_code}}/evidence/screenshots/0104-pz02-06.png. Подпись: «Рисунок 6 — Реальная взаимная проверка модуля другого студента».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