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20" w:line="240" w:lineRule="auto"/>
            </w:pPr>
            <w:r>
              <w:t>Модульная архитектура и контракт программного модуля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20" w:line="240" w:lineRule="auto"/>
            </w:pPr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/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Поле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ФИО, группа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Проект и команда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зона/компонент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Тег →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не создан — human/Lead gate; correction source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Репозиторий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t>Собственная зона ответственности</w:t>
            </w:r>
          </w:p>
        </w:tc>
      </w:tr>
    </w:tbl>
    <w:p>
      <w:pPr>
        <w:pStyle w:val="af7"/>
      </w:pPr>
      <w:r>
        <w:t>2 Цель, проект и место модуля</w:t>
      </w:r>
    </w:p>
    <w:p>
      <w:r>
        <w:t>Цель: выделить модуль с содержательным правилом, контрактом и заменяемой реализацией. Цепочка: HIT-42 refinement / TargetReadback contract → consumer-owned read boundary and provenance preservation → Verifier.VerifyTarget(ctx, expected) → VerifyTarget. Вне границы: проверка будет выполнена отдельно по учебной инструкции. Модульная карта проверка будет выполнена отдельно по учебной инструкции; своя запись и автор Дмитрий Стацюк. Интерфейс/заглушка без реализованной логики не является результатом.</w:t>
      </w:r>
    </w:p>
    <w:p>
      <w:pPr>
        <w:pStyle w:val="af7"/>
      </w:pPr>
      <w:r>
        <w:t>3 Ход работы</w:t>
      </w:r>
    </w:p>
    <w:p>
      <w:pPr>
        <w:pStyle w:val="afa"/>
      </w:pPr>
      <w:r>
        <w:t>3.1 Контракт и документация до демонстрации реализации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Часть</w:t>
            </w:r>
          </w:p>
        </w:tc>
        <w:tc>
          <w:tcPr>
            <w:tcW w:type="dxa" w:w="4677"/>
          </w:tcPr>
          <w:p>
            <w:r>
              <w:t>Краткое описание</w:t>
            </w:r>
          </w:p>
        </w:tc>
      </w:tr>
      <w:tr>
        <w:tc>
          <w:tcPr>
            <w:tcW w:type="dxa" w:w="4677"/>
          </w:tcPr>
          <w:p>
            <w:r>
              <w:t>Назначение</w:t>
            </w:r>
          </w:p>
        </w:tc>
        <w:tc>
          <w:tcPr>
            <w:tcW w:type="dxa" w:w="4677"/>
          </w:tcPr>
          <w:p>
            <w:r>
              <w:t>VerifyTarget сравнивает одну цель через TargetReader.</w:t>
            </w:r>
          </w:p>
        </w:tc>
      </w:tr>
      <w:tr>
        <w:tc>
          <w:tcPr>
            <w:tcW w:type="dxa" w:w="4677"/>
          </w:tcPr>
          <w:p>
            <w:r>
              <w:t>Вход</w:t>
            </w:r>
          </w:p>
        </w:tc>
        <w:tc>
          <w:tcPr>
            <w:tcW w:type="dxa" w:w="4677"/>
          </w:tcPr>
          <w:p>
            <w:r>
              <w:t>ID цели, Expected, строгий JSON или test double.</w:t>
            </w:r>
          </w:p>
        </w:tc>
      </w:tr>
      <w:tr>
        <w:tc>
          <w:tcPr>
            <w:tcW w:type="dxa" w:w="4677"/>
          </w:tcPr>
          <w:p>
            <w:r>
              <w:t>Результат</w:t>
            </w:r>
          </w:p>
        </w:tc>
        <w:tc>
          <w:tcPr>
            <w:tcW w:type="dxa" w:w="4677"/>
          </w:tcPr>
          <w:p>
            <w:r>
              <w:t>Match / mismatch / incomplete / unknown; без записи и сети.</w:t>
            </w:r>
          </w:p>
        </w:tc>
      </w:tr>
      <w:tr>
        <w:tc>
          <w:tcPr>
            <w:tcW w:type="dxa" w:w="4677"/>
          </w:tcPr>
          <w:p>
            <w:r>
              <w:t>Ошибки</w:t>
            </w:r>
          </w:p>
        </w:tc>
        <w:tc>
          <w:tcPr>
            <w:tcW w:type="dxa" w:w="4677"/>
          </w:tcPr>
          <w:p>
            <w:r>
              <w:t>Ошибка чтения → unknown; неверная структура → incomplete; отличие поля → mismatch.</w:t>
            </w:r>
          </w:p>
        </w:tc>
      </w:tr>
      <w:tr>
        <w:tc>
          <w:tcPr>
            <w:tcW w:type="dxa" w:w="4677"/>
          </w:tcPr>
          <w:p>
            <w:r>
              <w:t>Владение</w:t>
            </w:r>
          </w:p>
        </w:tc>
        <w:tc>
          <w:tcPr>
            <w:tcW w:type="dxa" w:w="4677"/>
          </w:tcPr>
          <w:p>
            <w:r>
              <w:t>Consumer владеет портом; adapter читает observation; provenance обязателен.</w:t>
            </w:r>
          </w:p>
        </w:tc>
      </w:tr>
      <w:tr>
        <w:tc>
          <w:tcPr>
            <w:tcW w:type="dxa" w:w="4677"/>
          </w:tcPr>
          <w:p>
            <w:r>
              <w:t>Побочные эффекты</w:t>
            </w:r>
          </w:p>
        </w:tc>
        <w:tc>
          <w:tcPr>
            <w:tcW w:type="dxa" w:w="4677"/>
          </w:tcPr>
          <w:p>
            <w:r>
              <w:t>Только чтение; сеть, БД, retry и переходы состояния не выполняются.</w:t>
            </w:r>
          </w:p>
        </w:tc>
      </w:tr>
    </w:tbl>
    <w:p>
      <w:r>
        <w:t>Контракт рядом с кодом services/delivery/docs/module-contract.md; документация стандартом стека Markdown module contract plus Go tests содержит назначение, вход, результат, ошибки, зависимости и пример. Рисунки 1–2.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Публичный контракт и существенная реализация]</w:t>
            </w:r>
          </w:p>
        </w:tc>
      </w:tr>
    </w:tbl>
    <w:p>
      <w:pPr>
        <w:spacing w:before="40" w:after="160"/>
        <w:jc w:val="center"/>
      </w:pPr>
      <w:r>
        <w:t>Рисунок 1 — Публичный контракт и существенная реализация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Документация модуля по стандарту стека]</w:t>
            </w:r>
          </w:p>
        </w:tc>
      </w:tr>
    </w:tbl>
    <w:p>
      <w:pPr>
        <w:spacing w:before="40" w:after="160"/>
        <w:jc w:val="center"/>
      </w:pPr>
      <w:r>
        <w:t>Рисунок 2 — Документация модуля по стандарту стека</w:t>
      </w:r>
    </w:p>
    <w:p>
      <w:pPr>
        <w:pStyle w:val="afa"/>
      </w:pPr>
      <w:r>
        <w:t>3.2 Реализация и интеграция</w:t>
      </w:r>
    </w:p>
    <w:p>
      <w:r>
        <w:t>Собственная существенная логика unknown on retrieval error; mismatch/incomplete do not become verified в services/delivery реально вызывается потребителем services/delivery/internal/application/verifytarget/verifytarget.go без зависимости от внутренних структур. Задача/ветка/PR/проверки/независимый review/merge Correction PR #29 https://github.com/hitpipe/hitpipe/pull/29; original requirement/review history remains in the repository records. Сборка, конфигурация, версия и диагностика ПР1 сохраняются. Рисунок 1.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Один потребитель и две подключаемые реализации]</w:t>
            </w:r>
          </w:p>
        </w:tc>
      </w:tr>
    </w:tbl>
    <w:p>
      <w:pPr>
        <w:spacing w:before="40" w:after="160"/>
        <w:jc w:val="center"/>
      </w:pPr>
      <w:r>
        <w:t>Рисунок 3 — Один потребитель и две подключаемые реализации</w:t>
      </w:r>
    </w:p>
    <w:p>
      <w:pPr>
        <w:pStyle w:val="afa"/>
      </w:pPr>
      <w:r>
        <w:t>3.3 Подмена за одной границей без изменения потребителя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Реализация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Как выбирается в точке сборки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Сценарий и результат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Ограничения доказательства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file-backed TargetReader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FileReader normal: Match; saved target/source/time accepted; log di-contract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saved observation adapter is not real provider access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fake TargetReader in tests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services/delivery/cmd/delivery-contractcheck/main.go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test double normal: Match; same VerifyTarget call and same expected projection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 final merge or external review</w:t>
            </w:r>
          </w:p>
        </w:tc>
      </w:tr>
    </w:tbl>
    <w:p>
      <w:r>
        <w:t>Доказательство неизменности потребителя bafc97a0eb5cc2b2aba68c04a74b179b61432d82; обе реализации одного контракта (либо подмена зависимости потребителя) выполняют один сценарий. Переписанный потребитель подменой не считается. Рисунок 3.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4 — Модульная карта с легендой и статусами]</w:t>
            </w:r>
          </w:p>
        </w:tc>
      </w:tr>
    </w:tbl>
    <w:p>
      <w:pPr>
        <w:spacing w:before="40" w:after="160"/>
        <w:jc w:val="center"/>
      </w:pPr>
      <w:r>
        <w:t>Рисунок 4 — Модульная карта с легендой и статусами</w:t>
      </w:r>
    </w:p>
    <w:p>
      <w:pPr>
        <w:pStyle w:val="afa"/>
      </w:pPr>
      <w:r>
        <w:t>3.4 Запись на общей модульной карте</w:t>
      </w:r>
    </w:p>
    <w:p>
      <w:r>
        <w:t>Имя, ответственность, контракт, зависимости исходного кода, путь, статус «работает/план», автор. A→B означает зависимость исходного кода A от контракта/типов B; направление вызова может отличаться. Проверено по реальным импортам и сборке проверка будет выполнена отдельно по учебной инструкции; циклы объяснены No foreign service-internal imports; domain has no os/net/database/provider imports. Будущие части не показывать работающими. Рисунок 4.</w:t>
      </w:r>
    </w:p>
    <w:p>
      <w:pPr>
        <w:pStyle w:val="afa"/>
      </w:pPr>
      <w:r>
        <w:t>3.5 Два направления сложности, существующий модуль-кандидат и личный ADR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Направление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Свой объект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Будущий исследовательский вопрос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Текущая готовность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 → application via typed result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domain/readback → application/verifytarget → TargetReader; module-map.md and real imports;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Expected/Observation projections; no provider schema rewrite; status implemented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unknown; explicit</w:t>
            </w:r>
          </w:p>
        </w:tc>
      </w:tr>
      <w:tr>
        <w:tc>
          <w:tcPr>
            <w:tcW w:type="dxa" w:w="2339"/>
          </w:tcPr>
          <w:p>
            <w:pPr>
              <w:spacing w:before="0" w:after="20" w:line="240" w:lineRule="auto"/>
            </w:pPr>
            <w:r>
              <w:t>application → TargetReader via consumer-owned interface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Проверка выполняется по отдельной учебной процедуре.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Can the verifier write or retry?</w:t>
            </w:r>
          </w:p>
        </w:tc>
        <w:tc>
          <w:tcPr>
            <w:tcW w:type="dxa" w:w="2339"/>
          </w:tcPr>
          <w:p>
            <w:pPr>
              <w:spacing w:before="0" w:after="20" w:line="240" w:lineRule="auto"/>
            </w:pPr>
            <w:r>
              <w:t>no; observational only</w:t>
            </w:r>
          </w:p>
        </w:tc>
      </w:tr>
    </w:tbl>
    <w:p>
      <w:r>
        <w:t>Модуль-кандидат уже существует в services/delivery/internal/domain/readback, изолированный воспроизводимый вход Expected task attributes, наблюдение retrieved TaskObservation. Узким местом без измерений не объявлять. Личный ADR проверка будет выполнена отдельно по учебной инструкции: автор Дмитрий Стацюк, контекст, варианты, решение о границе, последствия и цена (типы, копирование, косвенность), способ проверки. Общий ADR архитектора не заменяет собственное обоснование студента.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обеих реализаций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Адаптер</w:t>
            </w:r>
          </w:p>
        </w:tc>
        <w:tc>
          <w:tcPr>
            <w:tcW w:type="dxa" w:w="2339"/>
          </w:tcPr>
          <w:p>
            <w:r>
              <w:t>Сценарий</w:t>
            </w:r>
          </w:p>
        </w:tc>
        <w:tc>
          <w:tcPr>
            <w:tcW w:type="dxa" w:w="2339"/>
          </w:tcPr>
          <w:p>
            <w:r>
              <w:t>Ожидание</w:t>
            </w:r>
          </w:p>
        </w:tc>
        <w:tc>
          <w:tcPr>
            <w:tcW w:type="dxa" w:w="2339"/>
          </w:tcPr>
          <w:p>
            <w:r>
              <w:t>Факт / тест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Обычный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target-1; fixture-file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Граница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Context 1000 знаков; boundary.json</w:t>
            </w:r>
          </w:p>
        </w:tc>
      </w:tr>
      <w:tr>
        <w:tc>
          <w:tcPr>
            <w:tcW w:type="dxa" w:w="2339"/>
          </w:tcPr>
          <w:p>
            <w:r>
              <w:t>FileReader</w:t>
            </w:r>
          </w:p>
        </w:tc>
        <w:tc>
          <w:tcPr>
            <w:tcW w:type="dxa" w:w="2339"/>
          </w:tcPr>
          <w:p>
            <w:r>
              <w:t>Ошибка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Нет JSON; os error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Обычный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Observation + provenance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Граница</w:t>
            </w:r>
          </w:p>
        </w:tc>
        <w:tc>
          <w:tcPr>
            <w:tcW w:type="dxa" w:w="2339"/>
          </w:tcPr>
          <w:p>
            <w:r>
              <w:t>Match</w:t>
            </w:r>
          </w:p>
        </w:tc>
        <w:tc>
          <w:tcPr>
            <w:tcW w:type="dxa" w:w="2339"/>
          </w:tcPr>
          <w:p>
            <w:r>
              <w:t>Quote-safe context 1000</w:t>
            </w:r>
          </w:p>
        </w:tc>
      </w:tr>
      <w:tr>
        <w:tc>
          <w:tcPr>
            <w:tcW w:type="dxa" w:w="2339"/>
          </w:tcPr>
          <w:p>
            <w:r>
              <w:t>Test double</w:t>
            </w:r>
          </w:p>
        </w:tc>
        <w:tc>
          <w:tcPr>
            <w:tcW w:type="dxa" w:w="2339"/>
          </w:tcPr>
          <w:p>
            <w:r>
              <w:t>Ошибка</w:t>
            </w:r>
          </w:p>
        </w:tc>
        <w:tc>
          <w:tcPr>
            <w:tcW w:type="dxa" w:w="2339"/>
          </w:tcPr>
          <w:p>
            <w:r>
              <w:t>Unknown</w:t>
            </w:r>
          </w:p>
        </w:tc>
        <w:tc>
          <w:tcPr>
            <w:tcW w:type="dxa" w:w="2339"/>
          </w:tcPr>
          <w:p>
            <w:r>
              <w:t>os.ErrNotExist</w:t>
            </w:r>
          </w:p>
        </w:tc>
      </w:tr>
    </w:tbl>
    <w:p>
      <w:r>
        <w:t>Рисунок 5 показывает фактические прогоны обоих наборов, не только объявленные тесты.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5 — Проверки с обеими реализациями]</w:t>
            </w:r>
          </w:p>
        </w:tc>
      </w:tr>
    </w:tbl>
    <w:p>
      <w:pPr>
        <w:spacing w:before="40" w:after="160"/>
        <w:jc w:val="center"/>
      </w:pPr>
      <w:r>
        <w:t>Рисунок 5 — Проверки с обеими реализациями</w:t>
      </w:r>
    </w:p>
    <w:p>
      <w:pPr>
        <w:pStyle w:val="afa"/>
      </w:pPr>
      <w:r>
        <w:t>4.2 Взаимная проверка модуля другого студента</w:t>
      </w:r>
    </w:p>
    <w:p>
      <w:r>
        <w:t>Проверяющий Дмитрий Стацюк, дата 2026-10-19, автор/модуль другого студента Проверка по H1 выполняется отдельно., commit NOT APPLICABLE — H1, команды сборки, штатный/граничный/ошибочный случаи, подмена и сверка карты проверка будет выполнена отдельно по учебной инструкции. Замечания и повторная проверка после исправлений проверка будет выполнена отдельно по учебной инструкции. Реальная проверка другим студентом, без имитации self-review. Рисунок 6.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6 — Реальная взаимная проверка модуля другого студента]</w:t>
            </w:r>
          </w:p>
        </w:tc>
      </w:tr>
    </w:tbl>
    <w:p>
      <w:pPr>
        <w:spacing w:before="40" w:after="160"/>
        <w:jc w:val="center"/>
      </w:pPr>
      <w:r>
        <w:t>Рисунок 6 — Реальная взаимная проверка модуля другого студента</w:t>
      </w:r>
    </w:p>
    <w:p>
      <w:pPr>
        <w:pStyle w:val="af7"/>
      </w:pPr>
      <w:r>
        <w:t>5 Заключение и индивидуальный вклад</w:t>
      </w:r>
    </w:p>
    <w:p>
      <w:r>
        <w:t>По фактическим результатам описать реализованный контракт, интеграцию, подмену и границы вывода, соответствие карты, собственный ADR, независимую проверку. Неизменяемый тег 0104-pz02-ds-v1; доработка новым v2. Защита самостоятельно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https://github.com/hitpipe/hitpipe/blob/work/HIT-47-ds-corrections/services/delivery/docs/module-contract.md. Шаг 2: в тексте найдите VerifyTarget. Шаг 3: второй вкладкой откройте https://github.com/hitpipe/hitpipe/blob/work/HIT-47-ds-corrections/services/delivery/internal/application/verifytarget/verifytarget.go. Шаг 4: расположите вкладки рядом или сделайте два снимка и объедините их в один рисунок. Должны быть видны название операции и её результат. Сохраните как 0104-pz02-fig01.png. Подпись: «Публичный контракт и основная реализация».</w:t>
      </w:r>
    </w:p>
    <w:p>
      <w:r>
        <w:t>Рисунок 2. Шаг 1: откройте фактическую документацию модуля по ссылке https://github.com/hitpipe/hitpipe/blob/work/HIT-47-ds-corrections/services/delivery/docs/module-contract.md. Шаг 2: найдите заголовки «Inputs and projection», «Outcomes and precedence» и «Replacements and evidence». Шаг 3: покажите, что документ описывает входные данные, результаты match/mismatch/incomplete/unknown, строгий разбор JSON и отсутствие сетевых и записывающих побочных эффектов. Шаг 4: снимите URL, название файла и эти разделы. Сохраните как 0104-pz02-fig02.png. Подпись: «Документация модуля по стандарту стека».</w:t>
      </w:r>
    </w:p>
    <w:p>
      <w:r>
        <w:t>Рисунок 3. Шаг 1: откройте https://github.com/hitpipe/hitpipe/pull/29/files. Шаг 2: нажмите Ctrl+F и найдите verifytarget или TargetReader. Шаг 3: прокрутите до участка, где вызывающая часть передаёт объект чтения в VerifyTarget. Шаг 4: снимите строку вызова и два варианта реализации рядом в видимой области. Сохраните как 0104-pz02-fig03.png. Подпись: «Один потребитель и две реализации».</w:t>
      </w:r>
    </w:p>
    <w:p>
      <w:r>
        <w:t>Рисунок 4. Шаг 1: откройте https://github.com/hitpipe/hitpipe/tree/work/HIT-47-ds-corrections/docs/labs/pr12/ds. Шаг 2: найдите файл module-map.md. Шаг 3: если файла не видно, нажмите поиск репозитория и введите module-map. Шаг 4: откройте файл и найдите строки TargetReadback и VerifyTarget. Снимите их вместе со связями и статусами. Сохраните как 0104-pz02-fig04.png. Подпись: «Карта модулей проекта».</w:t>
      </w:r>
    </w:p>
    <w:p>
      <w:r>
        <w:t>Рисунок 5. Шаг 1: откройте PowerShell. Шаг 2: выполните Set-Location C:\projects\hitpipe\services\delivery. Шаг 3: выполните go test ./internal/adapters/fixtures/targetreader -run TestFileReaderAndDoubleShareVerifyTargetContract -v. Шаг 4: дождитесь строк PASS и итогового exit code 0. Снимите команду, имя теста и результат. Сохраните как 0104-pz02-fig05.png. Подпись: «Проверка контракта чтения файла».</w:t>
      </w:r>
    </w:p>
    <w:p>
      <w:r>
        <w:t>Рисунок 6. Шаг 1: откройте https://hitpipe.atlassian.net/browse/HIT-42. Шаг 2: найдите комментарий или вложение с взаимной проверкой. Шаг 3: покажите название модуля, дату и результат, но не личную переписку. Если такого материала нет, снимок не делайте. Сохраните как 0104-pz02-fig06.png. Подпись: «Реальная взаимная проверка модуля другого студента».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