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t>Модульная архитектура и контракт программного модуля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>
        <w:br w:type="page"/>
      </w:r>
    </w:p>
    <w:p>
      <w:pPr>
        <w:pStyle w:val="af9"/>
      </w:pPr>
      <w:r>
        <w:t>ВВЕДЕНИЕ</w:t>
      </w:r>
    </w:p>
    <w:p>
      <w: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r>
              <w:t>Поле</w:t>
            </w:r>
          </w:p>
        </w:tc>
        <w:tc>
          <w:tcPr>
            <w:tcW w:type="dxa" w:w="4677"/>
          </w:tcPr>
          <w:p>
            <w:r>
              <w:t>Значение</w:t>
            </w:r>
          </w:p>
        </w:tc>
      </w:tr>
      <w:tr>
        <w:tc>
          <w:tcPr>
            <w:tcW w:type="dxa" w:w="4677"/>
          </w:tcPr>
          <w:p>
            <w:r>
              <w:t>ФИО, группа</w:t>
            </w:r>
          </w:p>
        </w:tc>
        <w:tc>
          <w:tcPr>
            <w:tcW w:type="dxa" w:w="4677"/>
          </w:tcPr>
          <w:p>
            <w: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r>
              <w:t>Проект и команда</w:t>
            </w:r>
          </w:p>
        </w:tc>
        <w:tc>
          <w:tcPr>
            <w:tcW w:type="dxa" w:w="4677"/>
          </w:tcPr>
          <w:p>
            <w:r>
              <w:t>HitPipe; пять участников</w:t>
            </w:r>
          </w:p>
        </w:tc>
      </w:tr>
      <w:tr>
        <w:tc>
          <w:tcPr>
            <w:tcW w:type="dxa" w:w="4677"/>
          </w:tcPr>
          <w:p>
            <w:r>
              <w:t>Собственная зона/компонент</w:t>
            </w:r>
          </w:p>
        </w:tc>
        <w:tc>
          <w:tcPr>
            <w:tcW w:type="dxa" w:w="4677"/>
          </w:tcPr>
          <w:p>
            <w:r>
              <w:t>TargetReadback / services/delivery</w:t>
            </w:r>
          </w:p>
        </w:tc>
      </w:tr>
      <w:tr>
        <w:tc>
          <w:tcPr>
            <w:tcW w:type="dxa" w:w="4677"/>
          </w:tcPr>
          <w:p>
            <w:r>
              <w:t>Тег → commit</w:t>
            </w:r>
          </w:p>
        </w:tc>
        <w:tc>
          <w:tcPr>
            <w:tcW w:type="dxa" w:w="4677"/>
          </w:tcPr>
          <w:p>
            <w:r>
              <w:t>0104-pz02-ds-v1 → 7e815aa790e0ebba58e453e786bda45b9266161d</w:t>
            </w:r>
          </w:p>
        </w:tc>
      </w:tr>
      <w:tr>
        <w:tc>
          <w:tcPr>
            <w:tcW w:type="dxa" w:w="4677"/>
          </w:tcPr>
          <w:p>
            <w:r>
              <w:t>Репозиторий</w:t>
            </w:r>
          </w:p>
        </w:tc>
        <w:tc>
          <w:tcPr>
            <w:tcW w:type="dxa" w:w="4677"/>
          </w:tcPr>
          <w:p>
            <w:r>
              <w:t>https://github.com/hitpipe/hitpipe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Собственная зона ответственности</w:t>
            </w:r>
          </w:p>
        </w:tc>
      </w:tr>
      <w:tr>
        <w:tc>
          <w:tcPr>
            <w:tcW w:type="dxa" w:w="4677"/>
          </w:tcPr>
          <w:p>
            <w:r>
              <w:t>Состояние отчёта</w:t>
            </w:r>
          </w:p>
        </w:tc>
        <w:tc>
          <w:tcPr>
            <w:tcW w:type="dxa" w:w="4677"/>
          </w:tcPr>
          <w:p>
            <w:r>
              <w:t>TEMPLATE_UNFILLED</w:t>
            </w:r>
          </w:p>
        </w:tc>
      </w:tr>
    </w:tbl>
    <w:p>
      <w:pPr>
        <w:pStyle w:val="af7"/>
      </w:pPr>
      <w:r>
        <w:t>2 Цель, проект и место модуля</w:t>
      </w:r>
    </w:p>
    <w:p>
      <w:r>
        <w:t>Цель: выделить модуль с содержательным правилом, контрактом и заменяемой реализацией. Цепочка: HIT-42 refinement / TargetReadback contract → consumer-owned read boundary and provenance preservation → Verifier.VerifyTarget(ctx, expected) → VerifyTarget. Вне границы: NOT CONDUCTED / HUMAN ACTION REQUIRED. Модульная карта NOT CONDUCTED / HUMAN ACTION REQUIRED; своя запись и автор Дмитрий Стацюк. Интерфейс/заглушка без реализованной логики не является результатом.</w:t>
      </w:r>
    </w:p>
    <w:p>
      <w:pPr>
        <w:pStyle w:val="af7"/>
      </w:pPr>
      <w:r>
        <w:t>3 Ход работы</w:t>
      </w:r>
    </w:p>
    <w:p>
      <w:pPr>
        <w:pStyle w:val="afa"/>
      </w:pPr>
      <w:r>
        <w:t>3.1 Контракт и документация до демонстрации реализации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r>
              <w:t>Часть контракта</w:t>
            </w:r>
          </w:p>
        </w:tc>
        <w:tc>
          <w:tcPr>
            <w:tcW w:type="dxa" w:w="4677"/>
          </w:tcPr>
          <w:p>
            <w:r>
              <w:t>Решение и источник</w:t>
            </w:r>
          </w:p>
        </w:tc>
      </w:tr>
      <w:tr>
        <w:tc>
          <w:tcPr>
            <w:tcW w:type="dxa" w:w="4677"/>
          </w:tcPr>
          <w:p>
            <w:r>
              <w:t>Назначение и публичная операция</w:t>
            </w:r>
          </w:p>
        </w:tc>
        <w:tc>
          <w:tcPr>
            <w:tcW w:type="dxa" w:w="4677"/>
          </w:tcPr>
          <w:p>
            <w:r>
              <w:t>implementation-adr.md + requirement-change.md</w:t>
            </w:r>
          </w:p>
        </w:tc>
      </w:tr>
      <w:tr>
        <w:tc>
          <w:tcPr>
            <w:tcW w:type="dxa" w:w="4677"/>
          </w:tcPr>
          <w:p>
            <w:r>
              <w:t>Допустимые входы и предусловия</w:t>
            </w:r>
          </w:p>
        </w:tc>
        <w:tc>
          <w:tcPr>
            <w:tcW w:type="dxa" w:w="4677"/>
          </w:tcPr>
          <w:p>
            <w:r>
              <w:t>implementation-adr.md + requirement-change.md</w:t>
            </w:r>
          </w:p>
        </w:tc>
      </w:tr>
      <w:tr>
        <w:tc>
          <w:tcPr>
            <w:tcW w:type="dxa" w:w="4677"/>
          </w:tcPr>
          <w:p>
            <w:r>
              <w:t>Результат и постусловия</w:t>
            </w:r>
          </w:p>
        </w:tc>
        <w:tc>
          <w:tcPr>
            <w:tcW w:type="dxa" w:w="4677"/>
          </w:tcPr>
          <w:p>
            <w:r>
              <w:t>implementation-adr.md + requirement-change.md</w:t>
            </w:r>
          </w:p>
        </w:tc>
      </w:tr>
      <w:tr>
        <w:tc>
          <w:tcPr>
            <w:tcW w:type="dxa" w:w="4677"/>
          </w:tcPr>
          <w:p>
            <w:r>
              <w:t>Категории ошибок и порядок при нескольких нарушениях</w:t>
            </w:r>
          </w:p>
        </w:tc>
        <w:tc>
          <w:tcPr>
            <w:tcW w:type="dxa" w:w="4677"/>
          </w:tcPr>
          <w:p>
            <w:r>
              <w:t>implementation-adr.md + requirement-change.md</w:t>
            </w:r>
          </w:p>
        </w:tc>
      </w:tr>
      <w:tr>
        <w:tc>
          <w:tcPr>
            <w:tcW w:type="dxa" w:w="4677"/>
          </w:tcPr>
          <w:p>
            <w:r>
              <w:t>Владение входом/выходом, срок действия ссылок</w:t>
            </w:r>
          </w:p>
        </w:tc>
        <w:tc>
          <w:tcPr>
            <w:tcW w:type="dxa" w:w="4677"/>
          </w:tcPr>
          <w:p>
            <w:r>
              <w:t>implementation-adr.md + requirement-change.md</w:t>
            </w:r>
          </w:p>
        </w:tc>
      </w:tr>
      <w:tr>
        <w:tc>
          <w:tcPr>
            <w:tcW w:type="dxa" w:w="4677"/>
          </w:tcPr>
          <w:p>
            <w:r>
              <w:t>Состояние и побочные эффекты, явно если отсутствуют</w:t>
            </w:r>
          </w:p>
        </w:tc>
        <w:tc>
          <w:tcPr>
            <w:tcW w:type="dxa" w:w="4677"/>
          </w:tcPr>
          <w:p>
            <w:r>
              <w:t>implementation-adr.md + requirement-change.md</w:t>
            </w:r>
          </w:p>
        </w:tc>
      </w:tr>
    </w:tbl>
    <w:p>
      <w:r>
        <w:t>Контракт рядом с кодом services/delivery/docs/module-contract.md; документация стандартом стека Markdown module contract plus Go tests содержит назначение, вход, результат, ошибки, зависимости и пример. Рисунки 1–2.</w:t>
      </w:r>
    </w:p>
    <w:p>
      <w:pPr>
        <w:pStyle w:val="afa"/>
      </w:pPr>
      <w:r>
        <w:t>3.2 Реализация и интеграция</w:t>
      </w:r>
    </w:p>
    <w:p>
      <w:r>
        <w:t>Собственная существенная логика unknown on retrieval error; mismatch/incomplete do not become verified в services/delivery реально вызывается потребителем services/delivery/internal/application/verifytarget/verifytarget.go без зависимости от внутренних структур. Задача/ветка/PR/проверки/независимый review/merge PR #27 https://github.com/hitpipe/hitpipe/pull/27. Сборка, конфигурация, версия и диагностика ПР1 сохраняются. Рисунок 1.</w:t>
      </w:r>
    </w:p>
    <w:p>
      <w:pPr>
        <w:pStyle w:val="afa"/>
      </w:pPr>
      <w:r>
        <w:t>3.3 Подмена за одной границей без изменения потребителя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Реализация</w:t>
            </w:r>
          </w:p>
        </w:tc>
        <w:tc>
          <w:tcPr>
            <w:tcW w:type="dxa" w:w="2339"/>
          </w:tcPr>
          <w:p>
            <w:r>
              <w:t>Как выбирается в точке сборки</w:t>
            </w:r>
          </w:p>
        </w:tc>
        <w:tc>
          <w:tcPr>
            <w:tcW w:type="dxa" w:w="2339"/>
          </w:tcPr>
          <w:p>
            <w:r>
              <w:t>Сценарий и результат</w:t>
            </w:r>
          </w:p>
        </w:tc>
        <w:tc>
          <w:tcPr>
            <w:tcW w:type="dxa" w:w="2339"/>
          </w:tcPr>
          <w:p>
            <w:r>
              <w:t>Ограничения доказательства</w:t>
            </w:r>
          </w:p>
        </w:tc>
      </w:tr>
      <w:tr>
        <w:tc>
          <w:tcPr>
            <w:tcW w:type="dxa" w:w="2339"/>
          </w:tcPr>
          <w:p>
            <w:r>
              <w:t>file-backed TargetReader</w:t>
            </w:r>
          </w:p>
        </w:tc>
        <w:tc>
          <w:tcPr>
            <w:tcW w:type="dxa" w:w="2339"/>
          </w:tcPr>
          <w:p>
            <w:r>
              <w:t>services/delivery/cmd/delivery-contractcheck/main.go</w:t>
            </w:r>
          </w:p>
        </w:tc>
        <w:tc>
          <w:tcPr>
            <w:tcW w:type="dxa" w:w="2339"/>
          </w:tcPr>
          <w:p>
            <w:r>
              <w:t>NOT RUN / NOT CONDUCTED / HUMAN ACTION REQUIRED</w:t>
            </w:r>
          </w:p>
        </w:tc>
        <w:tc>
          <w:tcPr>
            <w:tcW w:type="dxa" w:w="2339"/>
          </w:tcPr>
          <w:p>
            <w:r>
              <w:t>saved observation adapter is not real provider access</w:t>
            </w:r>
          </w:p>
        </w:tc>
      </w:tr>
      <w:tr>
        <w:tc>
          <w:tcPr>
            <w:tcW w:type="dxa" w:w="2339"/>
          </w:tcPr>
          <w:p>
            <w:r>
              <w:t>fake TargetReader in tests</w:t>
            </w:r>
          </w:p>
        </w:tc>
        <w:tc>
          <w:tcPr>
            <w:tcW w:type="dxa" w:w="2339"/>
          </w:tcPr>
          <w:p>
            <w:r>
              <w:t>services/delivery/cmd/delivery-contractcheck/main.go</w:t>
            </w:r>
          </w:p>
        </w:tc>
        <w:tc>
          <w:tcPr>
            <w:tcW w:type="dxa" w:w="2339"/>
          </w:tcPr>
          <w:p>
            <w:r>
              <w:t>NOT RUN / NOT CONDUCTED / HUMAN ACTION REQUIRED</w:t>
            </w:r>
          </w:p>
        </w:tc>
        <w:tc>
          <w:tcPr>
            <w:tcW w:type="dxa" w:w="2339"/>
          </w:tcPr>
          <w:p>
            <w:r>
              <w:t>no final merge or external review</w:t>
            </w:r>
          </w:p>
        </w:tc>
      </w:tr>
    </w:tbl>
    <w:p>
      <w:r>
        <w:t>Доказательство неизменности потребителя 7e815aa790e0ebba58e453e786bda45b9266161d; обе реализации одного контракта (либо подмена зависимости потребителя) выполняют один сценарий. Переписанный потребитель подменой не считается. Рисунок 3.</w:t>
      </w:r>
    </w:p>
    <w:p>
      <w:pPr>
        <w:pStyle w:val="afa"/>
      </w:pPr>
      <w:r>
        <w:t>3.4 Запись на общей модульной карте</w:t>
      </w:r>
    </w:p>
    <w:p>
      <w:r>
        <w:t>Имя, ответственность, контракт, зависимости исходного кода, путь, статус «работает/план», автор. A→B означает зависимость исходного кода A от контракта/типов B; направление вызова может отличаться. Проверено по реальным импортам и сборке NOT CONDUCTED / HUMAN ACTION REQUIRED; циклы объяснены No foreign service-internal imports; domain has no os/net/database/provider imports. Будущие части не показывать работающими. Рисунок 4.</w:t>
      </w:r>
    </w:p>
    <w:p>
      <w:pPr>
        <w:pStyle w:val="afa"/>
      </w:pPr>
      <w:r>
        <w:t>3.5 Два направления сложности, существующий модуль-кандидат и личный ADR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Направление</w:t>
            </w:r>
          </w:p>
        </w:tc>
        <w:tc>
          <w:tcPr>
            <w:tcW w:type="dxa" w:w="2339"/>
          </w:tcPr>
          <w:p>
            <w:r>
              <w:t>Свой объект</w:t>
            </w:r>
          </w:p>
        </w:tc>
        <w:tc>
          <w:tcPr>
            <w:tcW w:type="dxa" w:w="2339"/>
          </w:tcPr>
          <w:p>
            <w:r>
              <w:t>Будущий исследовательский вопрос</w:t>
            </w:r>
          </w:p>
        </w:tc>
        <w:tc>
          <w:tcPr>
            <w:tcW w:type="dxa" w:w="2339"/>
          </w:tcPr>
          <w:p>
            <w:r>
              <w:t>Текущая готовность</w:t>
            </w:r>
          </w:p>
        </w:tc>
      </w:tr>
      <w:tr>
        <w:tc>
          <w:tcPr>
            <w:tcW w:type="dxa" w:w="2339"/>
          </w:tcPr>
          <w:p>
            <w:r>
              <w:t>domain → application via typed result</w:t>
            </w:r>
          </w:p>
        </w:tc>
        <w:tc>
          <w:tcPr>
            <w:tcW w:type="dxa" w:w="2339"/>
          </w:tcPr>
          <w:p>
            <w:r>
              <w:t>NOT CONDUCTED / HUMAN ACTION REQUIRED</w:t>
            </w:r>
          </w:p>
        </w:tc>
        <w:tc>
          <w:tcPr>
            <w:tcW w:type="dxa" w:w="2339"/>
          </w:tcPr>
          <w:p>
            <w:r>
              <w:t>Where does retrieval failure go?</w:t>
            </w:r>
          </w:p>
        </w:tc>
        <w:tc>
          <w:tcPr>
            <w:tcW w:type="dxa" w:w="2339"/>
          </w:tcPr>
          <w:p>
            <w:r>
              <w:t>unknown; explicit</w:t>
            </w:r>
          </w:p>
        </w:tc>
      </w:tr>
      <w:tr>
        <w:tc>
          <w:tcPr>
            <w:tcW w:type="dxa" w:w="2339"/>
          </w:tcPr>
          <w:p>
            <w:r>
              <w:t>application → TargetReader via consumer-owned interface</w:t>
            </w:r>
          </w:p>
        </w:tc>
        <w:tc>
          <w:tcPr>
            <w:tcW w:type="dxa" w:w="2339"/>
          </w:tcPr>
          <w:p>
            <w:r>
              <w:t>NOT CONDUCTED / HUMAN ACTION REQUIRED</w:t>
            </w:r>
          </w:p>
        </w:tc>
        <w:tc>
          <w:tcPr>
            <w:tcW w:type="dxa" w:w="2339"/>
          </w:tcPr>
          <w:p>
            <w:r>
              <w:t>Can the verifier write or retry?</w:t>
            </w:r>
          </w:p>
        </w:tc>
        <w:tc>
          <w:tcPr>
            <w:tcW w:type="dxa" w:w="2339"/>
          </w:tcPr>
          <w:p>
            <w:r>
              <w:t>no; observational only</w:t>
            </w:r>
          </w:p>
        </w:tc>
      </w:tr>
    </w:tbl>
    <w:p>
      <w:r>
        <w:t>Модуль-кандидат уже существует в services/delivery/internal/domain/readback, изолированный воспроизводимый вход Expected task attributes, наблюдение retrieved TaskObservation. Узким местом без измерений не объявлять. Личный ADR NOT CONDUCTED / HUMAN ACTION REQUIRED: автор Дмитрий Стацюк, контекст, варианты, решение о границе, последствия и цена (типы, копирование, косвенность), способ проверки. Общий ADR архитектора не заменяет собственное обоснование студента.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обеих реализаций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Реализация</w:t>
            </w:r>
          </w:p>
        </w:tc>
        <w:tc>
          <w:tcPr>
            <w:tcW w:type="dxa" w:w="2339"/>
          </w:tcPr>
          <w:p>
            <w:r>
              <w:t>Случай</w:t>
            </w:r>
          </w:p>
        </w:tc>
        <w:tc>
          <w:tcPr>
            <w:tcW w:type="dxa" w:w="2339"/>
          </w:tcPr>
          <w:p>
            <w:r>
              <w:t>Ожидаемый по контракту результат</w:t>
            </w:r>
          </w:p>
        </w:tc>
        <w:tc>
          <w:tcPr>
            <w:tcW w:type="dxa" w:w="2339"/>
          </w:tcPr>
          <w:p>
            <w:r>
              <w:t>Фактический результат, команда, журнал</w:t>
            </w:r>
          </w:p>
        </w:tc>
      </w:tr>
      <w:tr>
        <w:tc>
          <w:tcPr>
            <w:tcW w:type="dxa" w:w="2339"/>
          </w:tcPr>
          <w:p>
            <w:r>
              <w:t>file-backed TargetReader</w:t>
            </w:r>
          </w:p>
        </w:tc>
        <w:tc>
          <w:tcPr>
            <w:tcW w:type="dxa" w:w="2339"/>
          </w:tcPr>
          <w:p>
            <w:r>
              <w:t>Штатный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 / C2 tests, C3 tests, race test, CI</w:t>
            </w:r>
          </w:p>
        </w:tc>
      </w:tr>
      <w:tr>
        <w:tc>
          <w:tcPr>
            <w:tcW w:type="dxa" w:w="2339"/>
          </w:tcPr>
          <w:p>
            <w:r>
              <w:t>file-backed TargetReader</w:t>
            </w:r>
          </w:p>
        </w:tc>
        <w:tc>
          <w:tcPr>
            <w:tcW w:type="dxa" w:w="2339"/>
          </w:tcPr>
          <w:p>
            <w:r>
              <w:t>Граничный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 / C2 tests, C3 tests, race test, CI</w:t>
            </w:r>
          </w:p>
        </w:tc>
      </w:tr>
      <w:tr>
        <w:tc>
          <w:tcPr>
            <w:tcW w:type="dxa" w:w="2339"/>
          </w:tcPr>
          <w:p>
            <w:r>
              <w:t>file-backed TargetReader</w:t>
            </w:r>
          </w:p>
        </w:tc>
        <w:tc>
          <w:tcPr>
            <w:tcW w:type="dxa" w:w="2339"/>
          </w:tcPr>
          <w:p>
            <w:r>
              <w:t>Ошибочный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 / C2 tests, C3 tests, race test, CI</w:t>
            </w:r>
          </w:p>
        </w:tc>
      </w:tr>
      <w:tr>
        <w:tc>
          <w:tcPr>
            <w:tcW w:type="dxa" w:w="2339"/>
          </w:tcPr>
          <w:p>
            <w:r>
              <w:t>fake TargetReader in tests</w:t>
            </w:r>
          </w:p>
        </w:tc>
        <w:tc>
          <w:tcPr>
            <w:tcW w:type="dxa" w:w="2339"/>
          </w:tcPr>
          <w:p>
            <w:r>
              <w:t>Штатный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 / C2 tests, C3 tests, race test, CI</w:t>
            </w:r>
          </w:p>
        </w:tc>
      </w:tr>
      <w:tr>
        <w:tc>
          <w:tcPr>
            <w:tcW w:type="dxa" w:w="2339"/>
          </w:tcPr>
          <w:p>
            <w:r>
              <w:t>fake TargetReader in tests</w:t>
            </w:r>
          </w:p>
        </w:tc>
        <w:tc>
          <w:tcPr>
            <w:tcW w:type="dxa" w:w="2339"/>
          </w:tcPr>
          <w:p>
            <w:r>
              <w:t>Граничный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 / C2 tests, C3 tests, race test, CI</w:t>
            </w:r>
          </w:p>
        </w:tc>
      </w:tr>
      <w:tr>
        <w:tc>
          <w:tcPr>
            <w:tcW w:type="dxa" w:w="2339"/>
          </w:tcPr>
          <w:p>
            <w:r>
              <w:t>fake TargetReader in tests</w:t>
            </w:r>
          </w:p>
        </w:tc>
        <w:tc>
          <w:tcPr>
            <w:tcW w:type="dxa" w:w="2339"/>
          </w:tcPr>
          <w:p>
            <w:r>
              <w:t>Ошибочный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 / C2 tests, C3 tests, race test, CI</w:t>
            </w:r>
          </w:p>
        </w:tc>
      </w:tr>
    </w:tbl>
    <w:p>
      <w:r>
        <w:t>Рисунок 5 показывает фактические прогоны обоих наборов, не только объявленные тесты.</w:t>
      </w:r>
    </w:p>
    <w:p>
      <w:pPr>
        <w:pStyle w:val="afa"/>
      </w:pPr>
      <w:r>
        <w:t>4.2 Взаимная проверка модуля другого студента</w:t>
      </w:r>
    </w:p>
    <w:p>
      <w:r>
        <w:t>Проверяющий Дмитрий Стацюк, дата 2026-10-19, автор/модуль другого студента NOT CONDUCTED — H1, commit NOT APPLICABLE — H1, команды сборки, штатный/граничный/ошибочный случаи, подмена и сверка карты NOT CONDUCTED / HUMAN ACTION REQUIRED. Замечания и повторная проверка после исправлений NOT CONDUCTED / HUMAN ACTION REQUIRED. Реальная проверка другим студентом, без имитации self-review. Рисунок 6.</w:t>
      </w:r>
    </w:p>
    <w:p>
      <w:pPr>
        <w:pStyle w:val="af7"/>
      </w:pPr>
      <w:r>
        <w:t>5 Заключение и индивидуальный вклад</w:t>
      </w:r>
    </w:p>
    <w:p>
      <w:r>
        <w:t>По фактическим результатам описать реализованный контракт, интеграцию, подмену и границы вывода, соответствие карты, собственный ADR, независимую проверку. Неизменяемый тег 0104-pz02-ds-v1; доработка новым v2. Защита самостоятельно без генеративного AI.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Каждый слот заполнить реальным снимком вручную. До выдачи инструкции студенту агент обязан заменить все NOT CONDUCTED / HUMAN ACTION REQUIRED в инструкции фактическими URL, путями, командами, SHA, тегом и именами из выполненной задачи. Неразрешённый адрес или команда не считаются готовой инструкцией. Если действие не выполнено, отметить NOT RUN/BLOCKED и конкретное действие ответственного человека; не рисовать подтверждение.</w:t>
      </w:r>
    </w:p>
    <w:p>
      <w:pPr>
        <w:pStyle w:val="afa"/>
      </w:pPr>
      <w:r>
        <w:t>Рисунок 1 — Публичный контракт и существенная реализация</w:t>
      </w:r>
    </w:p>
    <w:p>
      <w:r>
        <w:t>[ВСТАВИТЬ РЕАЛЬНОЕ ИЗОБРАЖЕНИЕ ВРУЧНУЮ: 0104-pz02-01.png]</w:t>
      </w:r>
    </w:p>
    <w:p>
      <w:r>
        <w:t>Что открыть/выполнить: Открыть https://github.com/hitpipe/hitpipe/blob/7e815aa790e0ebba58e453e786bda45b9266161d/services/delivery/internal/domain/readback/readback.go#L1-L220 и services/delivery/docs/module-contract.md. Показать публичную операцию, часть собственной реализации и определённые вход/выход/ошибки; указать версию.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docs/labs/pr12/ds/evidence/screenshots/0104-pz02-01.png. Подпись: «Рисунок 1 — Публичный контракт и существенная реализация».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Документация модуля по стандарту стека</w:t>
      </w:r>
    </w:p>
    <w:p>
      <w:r>
        <w:t>[ВСТАВИТЬ РЕАЛЬНОЕ ИЗОБРАЖЕНИЕ ВРУЧНУЮ: 0104-pz02-02.png]</w:t>
      </w:r>
    </w:p>
    <w:p>
      <w:r>
        <w:t>Что открыть/выполнить: Открыть services/delivery/docs/module-contract.md, полученную командой Get-Content services/delivery/docs/module-contract.md либо встроенные GoDoc/TSDoc/docstring. Показать назначение, входы, результат, ошибки, зависимости и пример использования; документация относится к 7e815aa790e0ebba58e453e786bda45b9266161d.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docs/labs/pr12/ds/evidence/screenshots/0104-pz02-02.png. Подпись: «Рисунок 2 — Документация модуля по стандарту стека».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Один потребитель и две подключаемые реализации</w:t>
      </w:r>
    </w:p>
    <w:p>
      <w:r>
        <w:t>[ВСТАВИТЬ РЕАЛЬНОЕ ИЗОБРАЖЕНИЕ ВРУЧНУЮ: 0104-pz02-03.png]</w:t>
      </w:r>
    </w:p>
    <w:p>
      <w:r>
        <w:t>Что открыть/выполнить: Открыть services/delivery/cmd/delivery-contractcheck/main.go и неизменённый services/delivery/internal/application/verifytarget/verifytarget.go. Выполнить go test ./internal/application/verifytarget -run TestVerifierUsesReaderAndPreservesProvenance -count=1 для одного сценария с реализациями file-backed TargetReader и fake TargetReader in tests. Показать точку сборки/DI, оба результата и доказательство неизменности потребителя; ограничения подмены указать в тексте.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docs/labs/pr12/ds/evidence/screenshots/0104-pz02-03.png. Подпись: «Рисунок 3 — Один потребитель и две подключаемые реализации».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4 — Модульная карта с легендой и статусами</w:t>
      </w:r>
    </w:p>
    <w:p>
      <w:r>
        <w:t>[ВСТАВИТЬ РЕАЛЬНОЕ ИЗОБРАЖЕНИЕ ВРУЧНУЮ: 0104-pz02-04.png]</w:t>
      </w:r>
    </w:p>
    <w:p>
      <w:r>
        <w:t>Что открыть/выполнить: Открыть NOT CONDUCTED / HUMAN ACTION REQUIRED на версии 7e815aa790e0ebba58e453e786bda45b9266161d. Показать собственный модуль, ответственность, публичный контракт, зависимости, пути, автора, статусы «работает/план» и легенду направления стрелок. Карта должна соответствовать реальным импортам, а не будущей схеме.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docs/labs/pr12/ds/evidence/screenshots/0104-pz02-04.png. Подпись: «Рисунок 4 — Модульная карта с легендой и статусами».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5 — Проверки с обеими реализациями</w:t>
      </w:r>
    </w:p>
    <w:p>
      <w:r>
        <w:t>[ВСТАВИТЬ РЕАЛЬНОЕ ИЗОБРАЖЕНИЕ ВРУЧНУЮ: 0104-pz02-05.png]</w:t>
      </w:r>
    </w:p>
    <w:p>
      <w:r>
        <w:t>Что открыть/выполнить: Выполнить go test -race ./... на 7e815aa790e0ebba58e453e786bda45b9266161d. Показать обе реализации, штатный, граничный и ошибочный случаи для каждой, ожидаемые/фактические результаты и итог/код завершения.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docs/labs/pr12/ds/evidence/screenshots/0104-pz02-05.png. Подпись: «Рисунок 5 — Проверки с обеими реализациями».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6 — Реальная взаимная проверка модуля другого студента</w:t>
      </w:r>
    </w:p>
    <w:p>
      <w:r>
        <w:t>[ВСТАВИТЬ РЕАЛЬНОЕ ИЗОБРАЖЕНИЕ ВРУЧНУЮ: 0104-pz02-06.png]</w:t>
      </w:r>
    </w:p>
    <w:p>
      <w:r>
        <w:t>Что открыть/выполнить: После независимой проверки открыть NOT CREATED — H1 и NOT RUN — H1. Показать имя проверяющего, дату, автора/название чужого модуля, commit, команды сборки, случаи контракта, подмену, сверку карты и замечания/повторный прогон. Агентский self-review не заменяет проверку другого студента.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docs/labs/pr12/ds/evidence/screenshots/0104-pz02-06.png. Подпись: «Рисунок 6 — Реальная взаимная проверка модуля другого студента». В основном тексте дать ссылку на этот рисунок рядом с фактическим результатом.</w:t>
      </w:r>
    </w:p>
    <w:p>
      <w:pPr>
        <w:pStyle w:val="1"/>
      </w:pPr>
      <w:r>
        <w:t>Фактическое дополнение к шаблону</w:t>
      </w:r>
    </w:p>
    <w:p>
      <w:r>
        <w:t>Этот раздел связывает заполненный шаблон с реально выполненными артефактами. Он не заменяет предусмотренные методичкой human actions.</w:t>
      </w:r>
    </w:p>
    <w:p>
      <w:r>
        <w:t>• Domain/application/adapter separation is documented in module-map.md and implementation-adr.md.</w:t>
      </w:r>
    </w:p>
    <w:p>
      <w:r>
        <w:t>• Race and named tests PASS on D1.</w:t>
      </w:r>
    </w:p>
    <w:p>
      <w:r>
        <w:t>• Peer module review: NOT CONDUCTED; no self-review presented as independent review.</w:t>
      </w:r>
    </w:p>
    <w:p>
      <w:pPr>
        <w:pStyle w:val="2"/>
      </w:pPr>
      <w:r>
        <w:t>Состояние рисунков</w:t>
      </w:r>
    </w:p>
    <w:p>
      <w:r>
        <w:t>Все рисунки остаются текстовыми placeholders. Агент не создавал и не генерировал PNG. Человек должен открыть указанный URL/каталог, выполнить указанную команду, сверить SHA/версию и только затем вставить PNG с указанным именем и подписью.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