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>
            <w: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r>
              <w:t>Desk-research questions</w:t>
            </w:r>
          </w:p>
        </w:tc>
        <w:tc>
          <w:tcPr>
            <w:tcW w:w="3378" w:type="dxa"/>
          </w:tcPr>
          <w:p>
            <w:r>
              <w:t>Source: locked HP-VER-001/formal DeliveryIntent, ObservedTaskAttributes, TaskObservation; no live interview</w:t>
            </w:r>
          </w:p>
        </w:tc>
        <w:tc>
          <w:tcPr>
            <w:tcW w:w="3378" w:type="dxa"/>
          </w:tcPr>
          <w:p>
            <w: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FR-1</w:t>
            </w:r>
          </w:p>
        </w:tc>
        <w:tc>
          <w:tcPr>
            <w:tcW w:w="1670" w:type="dxa"/>
          </w:tcPr>
          <w:p>
            <w:r>
              <w:t>Compare workspace/list/title/assignee/handoff/context</w:t>
            </w:r>
          </w:p>
        </w:tc>
        <w:tc>
          <w:tcPr>
            <w:tcW w:w="1670" w:type="dxa"/>
          </w:tcPr>
          <w:p>
            <w:r>
              <w:t>requirements.md FR-1; formal projection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go test ./...; typed outcome; PASS on source head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FR-2</w:t>
            </w:r>
          </w:p>
        </w:tc>
        <w:tc>
          <w:tcPr>
            <w:tcW w:w="1670" w:type="dxa"/>
          </w:tcPr>
          <w:p>
            <w:r>
              <w:t>One canonical lowercase-UUID handoff with Service/Order/Context and matching markers</w:t>
            </w:r>
          </w:p>
        </w:tc>
        <w:tc>
          <w:tcPr>
            <w:tcW w:w="1670" w:type="dxa"/>
          </w:tcPr>
          <w:p>
            <w:r>
              <w:t>requirements.md FR-2; BP004/T013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readback regression suite; PASS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NFR-2</w:t>
            </w:r>
          </w:p>
        </w:tc>
        <w:tc>
          <w:tcPr>
            <w:tcW w:w="1670" w:type="dxa"/>
          </w:tcPr>
          <w:p>
            <w:r>
              <w:t>JCS escaped configured projection ≤32KiB; rendered block ≤36KiB</w:t>
            </w:r>
          </w:p>
        </w:tc>
        <w:tc>
          <w:tcPr>
            <w:tcW w:w="1670" w:type="dxa"/>
          </w:tcPr>
          <w:p>
            <w:r>
              <w:t>requirements.md NFR-2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quote-heavy boundary test; PASS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r>
              <w:t>DS-REV-003 JSON boundary</w:t>
            </w:r>
          </w:p>
        </w:tc>
        <w:tc>
          <w:tcPr>
            <w:tcW w:w="2598" w:type="dxa"/>
          </w:tcPr>
          <w:p>
            <w:r>
              <w:t>Strict lexical structure, duplicate/exact keys, EOF and surrogate pairing</w:t>
            </w:r>
          </w:p>
        </w:tc>
        <w:tc>
          <w:tcPr>
            <w:tcW w:w="3378" w:type="dxa"/>
          </w:tcPr>
          <w:p>
            <w: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r>
              <w:t>DS-REV-001/004 handoff/control/budget</w:t>
            </w:r>
          </w:p>
        </w:tc>
        <w:tc>
          <w:tcPr>
            <w:tcW w:w="2598" w:type="dxa"/>
          </w:tcPr>
          <w:p>
            <w:r>
              <w:t>Canonical T013 labels, UUID, markers, controls and escaped-byte budgets</w:t>
            </w:r>
          </w:p>
        </w:tc>
        <w:tc>
          <w:tcPr>
            <w:tcW w:w="3378" w:type="dxa"/>
          </w:tcPr>
          <w:p>
            <w: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r>
              <w:t>Security and provenance</w:t>
            </w:r>
          </w:p>
        </w:tc>
        <w:tc>
          <w:tcPr>
            <w:tcW w:w="1765" w:type="dxa"/>
          </w:tcPr>
          <w:p>
            <w:r>
              <w:t>Strict JSON/handoff and target/provenance guards; no provider access or secrets</w:t>
            </w:r>
          </w:p>
        </w:tc>
        <w:tc>
          <w:tcPr>
            <w:tcW w:w="1765" w:type="dxa"/>
          </w:tcPr>
          <w:p>
            <w:r>
              <w:t>PASS local tests/vet/race; hidden/live authority not claimed; security-baseline.md</w:t>
            </w:r>
          </w:p>
        </w:tc>
        <w:tc>
          <w:tcPr>
            <w:tcW w:w="2294" w:type="dxa"/>
          </w:tcPr>
          <w:p>
            <w:r>
              <w:t>bafc97a0eb5cc2b2aba68c04a74b179b61432d82</w:t>
            </w:r>
          </w:p>
        </w:tc>
        <w:tc>
          <w:tcPr>
            <w:tcW w:w="1765" w:type="dxa"/>
          </w:tcPr>
          <w:p>
            <w: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r>
              <w:t>HIT-42 TargetReadback refinement</w:t>
            </w:r>
          </w:p>
        </w:tc>
        <w:tc>
          <w:tcPr>
            <w:tcW w:type="dxa" w:w="1871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r>
              <w:t>Результат фиксируется в журнале проверки.</w:t>
            </w:r>
          </w:p>
        </w:tc>
        <w:tc>
          <w:tcPr>
            <w:tcW w:type="dxa" w:w="1871"/>
          </w:tcPr>
          <w:p>
            <w:r>
              <w:t>Дмитрий Стацюк; 2026-10-19; bafc97a0eb5cc2b2aba68c04a74b179b61432d82</w:t>
            </w:r>
          </w:p>
        </w:tc>
        <w:tc>
          <w:tcPr>
            <w:tcW w:type="dxa" w:w="1871"/>
          </w:tcPr>
          <w:p>
            <w: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r>
              <w:t>Technical result</w:t>
            </w:r>
          </w:p>
        </w:tc>
        <w:tc>
          <w:tcPr>
            <w:tcW w:w="2835" w:type="dxa"/>
          </w:tcPr>
          <w:p>
            <w: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</w:tcPr>
          <w:p>
            <w: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>
            <w: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>
            <w: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>
            <w: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>
            <w: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>
            <w: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pPr>
        <w:pStyle w:val="afa"/>
      </w:pPr>
      <w:r>
        <w:t>Рисунок 1 — Требование, задача и запрос на слияние</w:t>
      </w:r>
    </w:p>
    <w:p>
      <w:r>
        <w:t>[ВСТАВИТЬ РЕАЛЬНОЕ ИЗОБРАЖЕНИЕ ВРУЧНУЮ: 0302-pz01-01.png]</w:t>
      </w:r>
    </w:p>
    <w:p>
      <w:r>
        <w:t>Что открыть/выполнить: Открыть https://hitpipe.atlassian.net/browse/HIT-47 и https://github.com/hitpipe/hitpipe/pull/29; во вкладке Files changed раскрыть изменение требования HIT-42 TargetReadback refinement. Показать ключ задачи, автора, исходную/целевую ветви, состояние PR и смысловой diff. При необходимости использовать два подрисунка.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docs/labs/pr12/ds/evidence/screenshots/0302-pz01-01.png. Подпись: «Рисунок 1 — Требование, задача и запрос на слияние».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Автоматические проверки изменения требований</w:t>
      </w:r>
    </w:p>
    <w:p>
      <w:r>
        <w:t>[ВСТАВИТЬ РЕАЛЬНОЕ ИЗОБРАЖЕНИЕ ВРУЧНУЮ: 0302-pz01-02.png]</w:t>
      </w:r>
    </w:p>
    <w:p>
      <w:r>
        <w:t>Что открыть/выполнить: Открыть https://github.com/hitpipe/hitpipe/pull/29 для commit bafc97a0eb5cc2b2aba68c04a74b179b61432d82. Показать SHA, имена реально выполненных проверок, общий статус; раскрыть журнал содержательной проверки PR12 delivery — bootstrap or submitted component checks, чтобы было видно, что проверялось.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docs/labs/pr12/ds/evidence/screenshots/0302-pz01-02.png. Подпись: «Рисунок 2 — Автоматические проверки изменения требований».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Оппонирование другого проекта и принятое решение</w:t>
      </w:r>
    </w:p>
    <w:p>
      <w:r>
        <w:t>[ВСТАВИТЬ РЕАЛЬНОЕ ИЗОБРАЖЕНИЕ ВРУЧНУЮ: 0302-pz01-03.png]</w:t>
      </w:r>
    </w:p>
    <w:p>
      <w:r>
        <w:t>Что открыть/выполнить: Открыть Материалы H1 оформляются отдельно.. Показать автора/проект-оппонент, дату, рассматриваемое требование, реальное замечание (если было), ответ с решением и ссылку на исправление или обоснованный отказ. Если замечаний не было, показать реальный протокол рассмотрения без искусственного замечания.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docs/labs/pr12/ds/evidence/screenshots/0302-pz01-03.png. Подпись: «Рисунок 3 — Оппонирование другого проекта и принятое решение».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Correction PR #29: https://github.com/hitpipe/hitpipe/pull/29</w:t>
      </w:r>
    </w:p>
    <w:p>
      <w:r>
        <w:t>• Correction source commit: bafc97a0eb5cc2b2aba68c04a74b179b61432d82</w:t>
      </w:r>
    </w:p>
    <w:p>
      <w:r>
        <w:t>• Primary requirement path: docs/labs/pr12/ds/requirements.md; correction record: docs/labs/pr12/ds/review/correction-record.md</w:t>
      </w:r>
    </w:p>
    <w:p>
      <w:r>
        <w:br w:type="page"/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