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[ВПИСАТЬ КАФЕДРУ]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Инструментальный контур и воспроизводимое исполнение минимального программного компонента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гр. № [ВПИСАТЬ ГРУППУ]</w:t>
            </w:r>
            <w:r>
              <w:rPr>
                <w:rFonts w:eastAsia="Times New Roman"/>
                <w:lang w:eastAsia="ru-RU"/>
              </w:rPr>
              <w:t/>
            </w:r>
            <w:r w:rsidRPr="005F3E53">
              <w:rPr>
                <w:rFonts w:eastAsia="Times New Roman"/>
                <w:lang w:eastAsia="ru-RU"/>
              </w:rPr>
              <w:t xml:space="preserve"/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Д. Карачебан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ВВЕДЕНИЕ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Цель работы — подготовить исполняемый компонент проекта HitPipe и проследить весь путь от исходного кода до проверенного запуска. На индивидуальном участке реализована проверка пригодности существующей прикладной сессии. Одна и та же логика используется прикладным потребителем и диагностической командой.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Задачи работы: выбрать и описать инструменты, собрать компонент в двух режимах, исследовать исполняемый файл, проверить конфигурацию и диагностику, воспроизвести запуск другого компонента и показать, что автоматическая проверка действительно обнаруживает нарушенное правило.</w:t>
      </w:r>
    </w:p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1 Сведения о работе и проекте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Поле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Автор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Дмитрий Карачебан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Проект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HitPipe — сопровождение бизнес-операций между цифровыми сервисами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Индивидуальный участок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IAM: проверка прикладной сессии; каталог services/iam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Роль в команде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Руководитель проекта; аутентификация, авторизация и профиль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Рецензент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Тимофей Патрушев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Период работы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18–19 октября 2026 года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Репозиторий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</w:r>
            <w:hyperlink r:id="rId15">
              <w:r>
                <w:rPr>
                  <w:rFonts w:ascii="Times New Roman" w:hAnsi="Times New Roman" w:eastAsia="Times New Roman" w:cs="Times New Roman"/>
                  <w:sz w:val="28"/>
                  <w:color w:val="0563C1"/>
                </w:rPr>
                <w:t>hitpipe/hitpipe</w:t>
              </w:r>
            </w:hyperlink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Интегрированная версия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main, commit 73aef8d976c9f0676ee568d8dc5a82c8d35a2f00; PR №12–19 объединены 19.10.2026</w:t>
            </w:r>
          </w:p>
        </w:tc>
      </w:tr>
    </w:tbl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2 Цель, проект и собственная часть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HitPipe сопровождает бизнес-операцию от входного события до установленного результата либо понятного ожидания или исключения. Для работы оператора требуется действующая прикладная сессия. IAM определяет, известна ли сессия, не отозвана ли она и не истекли ли её сроки. При этом действующая сессия сама по себе не разрешает бизнес-действие: проверка роли и текущих полномочий выполняется отдельно.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Индивидуальный результат находится в services/iam. Это самостоятельный Go-модуль с чистой предметной логикой, прикладным сценарием, подменяемыми зависимостями и диагностическим исполняемым файлом. Команда работает только с синтетическими входными данными и не обращается к БД, платёжным сервисам или языковой модели.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2.1 Семь позиций инструментального контура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Позиция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Средство, назначение и применение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Сборка и преобразование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Go 1.27.2: проверка типов, компиляция и линковка. Python-команда workspace.py вызывает сборку конкретного сервиса; результат — ELF-файл linux/amd64. Сборка dev и release выполнена.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Управление зависимостями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Go modules; версия языка закреплена в services/iam/go.mod. Участок использует стандартную библиотеку, прямых сторонних Go-модулей нет. Состав зависимостей проверен командой go list.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Автоматические тесты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Пакет testing, табличные и граничные тесты, fuzz-проверки, отчёт покрытия и отдельный запуск мутаций. Проверяются значения результатов, ошибки и отсутствие утечек.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Статический анализ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go vet и проверка направлений импортов в workspace.py. Domain не импортирует транспорт, хранилище или адаптеры. Проверки выполнены локально и в CI.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Динамический анализ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Детектор гонок Go, включённый через PR12_RACE=1, и запуск настоящего бинарника вне каталога исходников. Проверенные сценарии завершились успешно.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Профилирование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Предусмотрены benchmark, pprof и trace после появления представительной нагрузки реального источника сессий. На данном этапе профиль CPU/памяти не снимался; выводов о производительности нет.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Непрерывная интеграция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GitHub Actions, Ubuntu 24.04: получение исходников, Go 1.27.2, проверка источников, vet, тесты и race, dev/release, покрытие, мутации и сохранение артефактов. Workflow — .github/workflows/pr12-dk.yml.</w:t>
            </w:r>
          </w:p>
        </w:tc>
      </w:tr>
    </w:tbl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Среда выполнения проверок: Linux amd64, Go 1.27.2, Python 3.14.4, Git 2.53.0 и GNU readelf 2.46. Отсутствие go.sum объясняется отсутствием сторонних модулей, а не незакреплёнными зависимостями. Средства подготовки отчётов не входят в зависимости исполняемого компонента.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Общее решение LAB-STACK-001 определяет технологический контур проекта. Для данного участка Go выбран за компилируемую модель исполнения, статическую типизацию, стандартные средства тестирования и возможность получить самостоятельный исполняемый файл. Отдельная интерпретируемая учебная программа означала бы дублирование предметного правила; вместо неё создан модуль, пригодный для дальнейшего развития IAM.</w:t>
      </w:r>
    </w:p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3 Ход работы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3.1 Подготовка собственного каркаса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Работа разделена на связанные изменения: HIT-19 — предметная проверка и диагностика, HIT-20 — прикладной потребитель и адаптеры, HIT-21 — расширенная система проверок. Каждому изменению соответствует отдельный PR №14, №15 и №16. Общий каркас проекта использован как основание; исходники других сервисов в рамках этих задач не переписывались.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В опубликованном техническом ревью Тимофея Патрушева код PR №12–18 получил положительную оценку в пределах рассмотренного участка. Два замечания к отчётному пакету — каталог запуска Go-команд и перенос строк таблиц — исправлены. Изменения объединены в основную ветку; обязательные проверки IAM, Intake, Processing и Delivery завершились успешно.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На рисунке 1 приведены сведения об изменении HIT-19 и его интеграции. История задач, исходных веток и проверок сохранена в GitHub.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576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1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6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1 - Собственная часть исполняемого каркаса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3.2 Путь исполнения и состав артефакта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Путь исполнения имеет следующий вид: исходники Go и go.mod → проверка типов → компиляция пакетов → линковка со средой выполнения Go → ELF-файл → запуск процессом ОС → main и сборка зависимостей → чтение входных данных → Lookup → Clock → Evaluate → безопасный результат и код завершения.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Python, Git и инструменты сборки нужны для подготовки и проверки, но не для исполнения готового бинарника. JSON-файл передаётся отдельно. Проверки file, go version -m и readelf показали статический ELF64 x86-64, наличие .debug_info и отсутствие динамической секции у исследованных сборок. Значение CGO_ENABLED=1 в метаданных само по себе не означает динамическую линковку именно этого файла.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3.3 Сравнение dev и release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Обе сборки изготовлены из одной версии исходников 2cd7c032e8ede98c75181599b440e97657bff197 при чистом рабочем дереве. Для сравнения использован один и тот же valid.json. Исходники IAM и его тестов в этой версии и интегрированном main совпадают.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Свойство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Основные параметры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dev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-gcflags=all=-N -l; метаданные линковщика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release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-trimpath; метаданные линковщика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Свойство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Наблюдённый размер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dev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4 622 983 байта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release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4 409 836 байт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Свойство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Формат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dev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Статический ELF64 x86-64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release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Статический ELF64 x86-64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Свойство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Отладочная информация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dev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.debug_info присутствует; файл не stripped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release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.debug_info присутствует; файл не stripped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Свойство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Метаданные --version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dev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Тот же commit, dirty=false, buildMode=dev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release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Тот же commit, dirty=false, buildMode=release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Свойство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Штатный сценарий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dev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session_valid, код 0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release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session_valid, код 0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Свойство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Запуск вне исходников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dev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Копия бинарника и входных файлов: успешно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Режим release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Копия бинарника и входных файлов: успешно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Разница размеров является наблюдением для конкретных сборок. Она не доказывает ускорения release. В выбранном release-профиле отладочные символы не удаляются. Повторный запуск выполнялся из временного каталога отдельной копией файла, а не через go run.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6649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1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4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2 - Подготовка одного компонента dev/release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3681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1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3 - Поставка запущена вне исходников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3.4 Конфигурация, остановка и повторный запуск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Конфигурация задаёт путь к синтетическому входу, формат ответа и выбор адаптеров. Корректный запрещающий результат — например, истёкший срок — является обработанным бизнес-исходом и имеет код завершения 0. Неверный JSON или неизвестный формат дают код 2. Недоступная зависимость даёт код 3.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Команда выполняет один сценарий и завершается. Она не хранит состояние между запусками и не меняет исходный JSON. Повторный запуск с теми же значениями и фиксированным временем даёт тот же результат. После ошибочного файла восстановление состоит в выборе корректного входа; очистка внешних ресурсов не требуется.</w:t>
      </w:r>
    </w:p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4 Результаты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4.1 Проверки компонента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Сценарий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Ожидание и фактический результат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--version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Выведены версия исходников, признак dirty и режим сборки; проверка успешна в dev и release.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valid.json, text/json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session_valid, код 0; присутствуют начальная и конечная диагностические записи.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idle-equal.json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denied/idle_expired, код 0: равенство срока означает истечение.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malformed.json и неверный формат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invalid_config, код 2; содержимое входа не раскрывается.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--lookup file/fixed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Тот же потребитель получает одинаковый результат при одинаковых данных.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--clock system без подтверждения исправности часов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unavailable/clock_unavailable, код 3. Неподтверждённое системное время не считается доверенным.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Безопасность вывода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Тестовые секретные строки, идентификатор сессии, профиль и тело входного файла отсутствуют в stdout/stderr.</w:t>
            </w:r>
          </w:p>
        </w:tc>
      </w:tr>
    </w:tbl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29363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1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6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4 - Штатный диагностический запуск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39067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1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06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5 - Неверная конфигурация и безопасная диагностика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4.2 Техническое воспроизведение компонента другого участника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19 октября 2026 года на интегрированной версии 73aef8d976c9f0676ee568d8dc5a82c8d35a2f00 выполнено техническое воспроизведение компонента Processing, за который отвечает Тимофей Патрушев. Использовано отдельное чистое рабочее дерево репозитория; проверка не требует ключей внешних сервисов или персональных данных.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Из корня репозитория выполнены проверка Processing с детектором гонок, диагностический запуск в режимах dev/release, тест TestReaderSubstitution и получение списка импортов. Все четыре команды завершились с кодом 0. Для File-реализации и тестовой подмены SourceFactsReader проверены штатный, ошибочный и граничные случаи. Карта зависимостей сопоставлена с фактическими импортами; циклов не обнаружено. Полные команды, параметры среды, время и результаты сохранены в evidence/peer-technical.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На рисунке 6 показаны результаты проверки и запуска Processing. Иллюстрация представляет браузерный просмотр фактических журналов; полные файлы сохранены отдельно.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8396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1-06-part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3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6 - Техническое воспроизведение компонента Processing (часть 1 из 2)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8333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1-06-part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3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6 - Техническое воспроизведение компонента Processing (часть 2 из 2)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4.3 Автоматический контроль с отрицательной демонстрацией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Workflow pr12-iam проверяет не только компиляцию, но и выполнение именованных тестов, отсутствие запрещённых зависимостей, запуск бинарника и поведение при нарушении правил. Успешный запуск проверенной версии — run 39177171258.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Для отрицательной демонстрации в отдельном временном рабочем дереве изменено сравнение срока бездействия: вместо now&gt;=deadline использовано now&gt;deadline. Мутант M01 компилируется с кодом 0, но та же команда проверки завершается с кодом 1: тест равенства срока обнаруживает ошибку. После восстановления исходного файла проверка вновь завершается с кодом 0. Таким образом, успешная компиляция не маскирует нарушение предметного правила.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0820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1-07-part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7 - Та же команда CI отвергает нарушенное условие (часть 1 из 2)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0820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1-07-part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7 - Та же команда CI отвергает нарушенное условие (часть 2 из 2)</w:t>
      </w:r>
    </w:p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5 Заключение и индивидуальный вклад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Индивидуальный участок Дмитрия Карачебана включает исполняемый модуль IAM, диагностическую команду, метаданные версии, безопасную обработку конфигурации и автоматическую проверку. Описаны все семь позиций инструментального контура; для профилирования определено место в следующем этапе работы.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Практически исследованы две сборки, выполнен запуск вне каталога исходников, проверены штатные и ошибочные исходы. Отрицательный опыт подтвердил чувствительность автоматического контроля. Результат пригоден для дальнейшего подключения настоящего источника сессий без переноса предметного правила в транспортный код.</w:t>
      </w:r>
    </w:p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СПИСОК ИСПОЛЬЗОВАННЫХ МАТЕРИАЛОВ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1. Методические указания к практическим работам №1 «Подготовка инструментального контура программного проекта» и №2 «Модульная архитектура» по МДК01.04. Актуальные редакции, предоставленные преподавателем.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2. Методические указания к практическим работам №1 «Требования и регламент» и №2 «Проектирование и реализация системы проверок программного продукта» по МДК03.02. Актуальные редакции, предоставленные преподавателем.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3. Проект HitPipe: описание MVP, регламент изменений, решение о технологическом стеке LAB-STACK-001; архитектурные материалы HP-BP-001, разделы T/002, T/003, T/013, и HP-BP-007, раздел T/005. Копии исходных документов и контрольные суммы — docs/labs/pr12/upstream и source-files.json.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 xml:space="preserve">4. </w:t>
      </w:r>
      <w:hyperlink r:id="rId25">
        <w:r>
          <w:rPr>
            <w:rFonts w:ascii="Times New Roman" w:hAnsi="Times New Roman" w:eastAsia="Times New Roman" w:cs="Times New Roman"/>
            <w:sz w:val="28"/>
            <w:color w:val="0563C1"/>
          </w:rPr>
          <w:t>Исходный код и документация IAM</w:t>
        </w:r>
      </w:hyperlink>
      <w:r>
        <w:rPr>
          <w:rFonts w:ascii="Times New Roman" w:hAnsi="Times New Roman" w:eastAsia="Times New Roman" w:cs="Times New Roman"/>
          <w:sz w:val="28"/>
          <w:lang w:val="ru-RU"/>
        </w:rPr>
        <w:t>: module-contract.md, policy.go, service.go, адаптеры, диагностическая команда и тесты.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 xml:space="preserve">5. </w:t>
      </w:r>
      <w:hyperlink r:id="rId26">
        <w:r>
          <w:rPr>
            <w:rFonts w:ascii="Times New Roman" w:hAnsi="Times New Roman" w:eastAsia="Times New Roman" w:cs="Times New Roman"/>
            <w:sz w:val="28"/>
            <w:color w:val="0563C1"/>
          </w:rPr>
          <w:t>Материалы индивидуального участка Дмитрия Карачебана</w:t>
        </w:r>
      </w:hyperlink>
      <w:r>
        <w:rPr>
          <w:rFonts w:ascii="Times New Roman" w:hAnsi="Times New Roman" w:eastAsia="Times New Roman" w:cs="Times New Roman"/>
          <w:sz w:val="28"/>
          <w:lang w:val="ru-RU"/>
        </w:rPr>
        <w:t>: требования, карта модулей, DK-ADR-001, проектирование тестов, результаты и реестр рисков.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 xml:space="preserve">6. </w:t>
      </w:r>
      <w:hyperlink r:id="rId27">
        <w:r>
          <w:rPr>
            <w:rFonts w:ascii="Times New Roman" w:hAnsi="Times New Roman" w:eastAsia="Times New Roman" w:cs="Times New Roman"/>
            <w:sz w:val="28"/>
            <w:color w:val="0563C1"/>
          </w:rPr>
          <w:t>Изменение требований, PR №13</w:t>
        </w:r>
      </w:hyperlink>
      <w:r>
        <w:rPr>
          <w:rFonts w:ascii="Times New Roman" w:hAnsi="Times New Roman" w:eastAsia="Times New Roman" w:cs="Times New Roman"/>
          <w:sz w:val="28"/>
          <w:lang w:val="ru-RU"/>
        </w:rPr>
        <w:t xml:space="preserve">, </w:t>
      </w:r>
      <w:hyperlink r:id="rId28">
        <w:r>
          <w:rPr>
            <w:rFonts w:ascii="Times New Roman" w:hAnsi="Times New Roman" w:eastAsia="Times New Roman" w:cs="Times New Roman"/>
            <w:sz w:val="28"/>
            <w:color w:val="0563C1"/>
          </w:rPr>
          <w:t>реализация модуля, PR №14</w:t>
        </w:r>
      </w:hyperlink>
      <w:r>
        <w:rPr>
          <w:rFonts w:ascii="Times New Roman" w:hAnsi="Times New Roman" w:eastAsia="Times New Roman" w:cs="Times New Roman"/>
          <w:sz w:val="28"/>
          <w:lang w:val="ru-RU"/>
        </w:rPr>
        <w:t xml:space="preserve">, </w:t>
      </w:r>
      <w:hyperlink r:id="rId29">
        <w:r>
          <w:rPr>
            <w:rFonts w:ascii="Times New Roman" w:hAnsi="Times New Roman" w:eastAsia="Times New Roman" w:cs="Times New Roman"/>
            <w:sz w:val="28"/>
            <w:color w:val="0563C1"/>
          </w:rPr>
          <w:t>итоги технического ревью, PR №19</w:t>
        </w:r>
      </w:hyperlink>
      <w:r>
        <w:rPr>
          <w:rFonts w:ascii="Times New Roman" w:hAnsi="Times New Roman" w:eastAsia="Times New Roman" w:cs="Times New Roman"/>
          <w:sz w:val="28"/>
          <w:lang w:val="ru-RU"/>
        </w:rPr>
        <w:t>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 xml:space="preserve">7. </w:t>
      </w:r>
      <w:hyperlink r:id="rId13">
        <w:r>
          <w:rPr>
            <w:rFonts w:ascii="Times New Roman" w:hAnsi="Times New Roman" w:eastAsia="Times New Roman" w:cs="Times New Roman"/>
            <w:sz w:val="28"/>
            <w:color w:val="0563C1"/>
          </w:rPr>
          <w:t>Успешный запуск CI для проверенной версии IAM</w:t>
        </w:r>
      </w:hyperlink>
      <w:r>
        <w:rPr>
          <w:rFonts w:ascii="Times New Roman" w:hAnsi="Times New Roman" w:eastAsia="Times New Roman" w:cs="Times New Roman"/>
          <w:sz w:val="28"/>
          <w:lang w:val="ru-RU"/>
        </w:rPr>
        <w:t>. Журналы повторных запусков на интегрированной версии и исходные изображения включены в электронные материалы работы.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i/>
      <w:caps/>
      <w:color w:val="000000" w:themeColor="text1"/>
      <w:sz w:val="28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 w:themeColor="text1"/>
      <w:sz w:val="28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 w:themeColor="text1"/>
      <w:sz w:val="28"/>
      <w:szCs w:val="24"/>
    </w:rPr>
  </w:style>
  <w:style w:type="character" w:default="1" w:styleId="a3">
    <w:name w:val="Default Paragraph Font"/>
    <w:uiPriority w:val="1"/>
    <w:semiHidden/>
    <w:unhideWhenUsed/>
    <w:rPr>
      <w:rFonts w:ascii="Times New Roman" w:hAnsi="Times New Roman"/>
      <w:sz w:val="28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 w:ascii="Times New Roman" w:hAnsi="Times New Roman"/>
      <w:b/>
      <w:bCs/>
      <w:caps/>
      <w:color w:val="000000" w:themeColor="text1"/>
      <w:sz w:val="28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rFonts w:ascii="Times New Roman" w:hAnsi="Times New Roman"/>
      <w:i/>
      <w:iCs/>
      <w:sz w:val="28"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bCs/>
      <w:kern w:val="28"/>
      <w:sz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 w:ascii="Times New Roman" w:hAnsi="Times New Roman"/>
      <w:b/>
      <w:bCs/>
      <w:kern w:val="28"/>
      <w:sz w:val="28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 w:ascii="Times New Roman" w:hAnsi="Times New Roman"/>
      <w:b/>
      <w:bCs/>
      <w:color w:val="000000" w:themeColor="text1"/>
      <w:sz w:val="28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  <w:rPr>
      <w:rFonts w:ascii="Times New Roman" w:hAnsi="Times New Roman"/>
      <w:sz w:val="28"/>
    </w:r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rFonts w:ascii="Times New Roman" w:hAnsi="Times New Roman"/>
      <w:sz w:val="28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rFonts w:ascii="Times New Roman" w:hAnsi="Times New Roman"/>
      <w:sz w:val="28"/>
    </w:r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rFonts w:ascii="Times New Roman" w:hAnsi="Times New Roman"/>
      <w:sz w:val="28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8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 w:ascii="Times New Roman" w:hAnsi="Times New Roman"/>
      <w:b/>
      <w:bCs/>
      <w:color w:val="000000" w:themeColor="text1"/>
      <w:sz w:val="28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Times New Roman" w:hAnsi="Times New Roman" w:cs="Segoe UI"/>
      <w:sz w:val="2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Times New Roman" w:hAnsi="Times New Roman" w:cs="Segoe UI"/>
      <w:sz w:val="2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8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rFonts w:ascii="Times New Roman" w:hAnsi="Times New Roman"/>
      <w:sz w:val="28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Times New Roman" w:hAnsi="Times New Roman" w:cs="Times New Roman"/>
      <w:sz w:val="28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Times New Roman" w:hAnsi="Times New Roman" w:cs="Times New Roman"/>
      <w:sz w:val="28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 w:ascii="Times New Roman" w:hAnsi="Times New Roman"/>
      <w:bCs/>
      <w:sz w:val="28"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8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rFonts w:ascii="Times New Roman" w:hAnsi="Times New Roman"/>
      <w:sz w:val="28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rFonts w:ascii="Times New Roman" w:hAnsi="Times New Roman"/>
      <w:sz w:val="28"/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rFonts w:ascii="Times New Roman" w:hAnsi="Times New Roman"/>
      <w:noProof/>
      <w:sz w:val="28"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rFonts w:ascii="Times New Roman" w:hAnsi="Times New Roman"/>
      <w:sz w:val="28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rFonts w:ascii="Times New Roman" w:hAnsi="Times New Roman"/>
      <w:noProof/>
      <w:sz w:val="28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  <w:rPr>
      <w:rFonts w:ascii="Times New Roman" w:hAnsi="Times New Roman"/>
      <w:sz w:val="28"/>
    </w:r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  <w:rPr>
      <w:rFonts w:ascii="Times New Roman" w:hAnsi="Times New Roman"/>
      <w:sz w:val="28"/>
    </w:r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  <w:rPr>
      <w:rFonts w:ascii="Times New Roman" w:hAnsi="Times New Roman"/>
      <w:sz w:val="28"/>
    </w:rPr>
  </w:style>
  <w:style w:type="character" w:styleId="aff">
    <w:name w:val="Hyperlink"/>
    <w:basedOn w:val="a3"/>
    <w:uiPriority w:val="99"/>
    <w:rsid w:val="00B65E4B"/>
    <w:rPr>
      <w:rFonts w:ascii="Times New Roman" w:hAnsi="Times New Roman"/>
      <w:color w:val="0563C1" w:themeColor="hyperlink"/>
      <w:sz w:val="28"/>
      <w:u w:val="single"/>
    </w:rPr>
  </w:style>
  <w:style w:type="character" w:styleId="aff0">
    <w:name w:val="Placeholder Text"/>
    <w:basedOn w:val="a3"/>
    <w:uiPriority w:val="99"/>
    <w:semiHidden/>
    <w:rsid w:val="00105013"/>
    <w:rPr>
      <w:rFonts w:ascii="Times New Roman" w:hAnsi="Times New Roman"/>
      <w:color w:val="808080"/>
      <w:sz w:val="28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rFonts w:ascii="Times New Roman" w:hAnsi="Times New Roman"/>
      <w:color w:val="605E5C"/>
      <w:sz w:val="28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rFonts w:ascii="Times New Roman" w:hAnsi="Times New Roman"/>
      <w:color w:val="954F72" w:themeColor="followedHyperlink"/>
      <w:sz w:val="28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rFonts w:ascii="Times New Roman" w:hAnsi="Times New Roman"/>
      <w:sz w:val="28"/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rFonts w:ascii="Times New Roman" w:hAnsi="Times New Roman"/>
      <w:b/>
      <w:sz w:val="28"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8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8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rFonts w:ascii="Times New Roman" w:hAnsi="Times New Roman"/>
      <w:caps/>
      <w:sz w:val="28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rFonts w:ascii="Times New Roman" w:hAnsi="Times New Roman"/>
      <w:sz w:val="28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rFonts w:ascii="Times New Roman" w:hAnsi="Times New Roman"/>
      <w:sz w:val="28"/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8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rFonts w:ascii="Times New Roman" w:hAnsi="Times New Roman"/>
      <w:i/>
      <w:iCs/>
      <w:sz w:val="28"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hitpipe.atlassian.net/browse/HIT-11" TargetMode="External"/><Relationship Id="rId12" Type="http://schemas.openxmlformats.org/officeDocument/2006/relationships/hyperlink" Target="https://github.com/hitpipe/hitpipe/tree/2cd7c032e8ede98c75181599b440e97657bff197/docs/labs/pr12/dk" TargetMode="External"/><Relationship Id="rId13" Type="http://schemas.openxmlformats.org/officeDocument/2006/relationships/hyperlink" Target="https://github.com/hitpipe/hitpipe/actions/runs/39177171258/job/117822118583" TargetMode="External"/><Relationship Id="rId14" Type="http://schemas.openxmlformats.org/officeDocument/2006/relationships/hyperlink" Target="https://github.com/hitpipe/hitpipe/tree/2cd7c032e8ede98c75181599b440e97657bff197/services/iam" TargetMode="External"/><Relationship Id="rId15" Type="http://schemas.openxmlformats.org/officeDocument/2006/relationships/hyperlink" Target="https://github.com/hitpipe/hitpipe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hyperlink" Target="https://github.com/hitpipe/hitpipe/tree/73aef8d976c9f0676ee568d8dc5a82c8d35a2f00/services/iam" TargetMode="External"/><Relationship Id="rId26" Type="http://schemas.openxmlformats.org/officeDocument/2006/relationships/hyperlink" Target="https://github.com/hitpipe/hitpipe/tree/73aef8d976c9f0676ee568d8dc5a82c8d35a2f00/docs/labs/pr12/dk" TargetMode="External"/><Relationship Id="rId27" Type="http://schemas.openxmlformats.org/officeDocument/2006/relationships/hyperlink" Target="https://github.com/hitpipe/hitpipe/pull/13" TargetMode="External"/><Relationship Id="rId28" Type="http://schemas.openxmlformats.org/officeDocument/2006/relationships/hyperlink" Target="https://github.com/hitpipe/hitpipe/pull/14" TargetMode="External"/><Relationship Id="rId29" Type="http://schemas.openxmlformats.org/officeDocument/2006/relationships/hyperlink" Target="https://github.com/hitpipe/hitpipe/pull/19#issuecomment-6271215905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Инструментальный контур</dc:title>
  <dc:subject>Индивидуальный отчёт о практической работе</dc:subject>
  <dc:creator>Дмитрий Карачебан</dc:creator>
  <cp:keywords>HitPipe; IAM; Дмитрий Карачебан</cp:keywords>
  <dc:description/>
  <cp:lastModifiedBy>Дмитрий Карачебан</cp:lastModifiedBy>
  <cp:revision>2</cp:revision>
  <dcterms:created xsi:type="dcterms:W3CDTF">2026-10-19T18:26:49Z</dcterms:created>
  <dcterms:modified xsi:type="dcterms:W3CDTF">2026-10-19T18:26:49Z</dcterms:modified>
</cp:coreProperties>
</file>