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[ВПИСАТЬ КАФЕДРУ]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гр. № [ВПИСАТЬ ГРУППУ]</w:t>
            </w:r>
            <w:r>
              <w:rPr>
                <w:rFonts w:eastAsia="Times New Roman"/>
                <w:lang w:eastAsia="ru-RU"/>
              </w:rPr>
              <w:t/>
            </w:r>
            <w:r w:rsidRPr="005F3E53"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Д. Карачебан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ВВЕДЕНИЕ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Цель работы — выделить в собственном участке HitPipe модуль с ясной ответственностью, поведенческим контрактом и заменяемыми зависимостями. Предмет исследования — проверка существующей прикладной сессии IAM.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Задачи: определить допустимые входы и ошибки до реализации, подключить модуль к прикладному потребителю, показать две реализации одной зависимости, проверить направления импортов и обосновать локальное архитектурное решение.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1 Сведения о работе и проекте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Поле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Автор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Дмитрий Карачебан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Проект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HitPipe — сопровождение бизнес-операций между цифровыми сервисами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Индивидуальный участок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IAM: проверка прикладной сессии; каталог services/iam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Роль в команде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Руководитель проекта; аутентификация, авторизация и профиль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Рецензент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Тимофей Патрушев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Период работы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18–19 октября 2026 года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Репозиторий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</w:r>
            <w:hyperlink r:id="rId15">
              <w:r>
                <w:rPr>
                  <w:rFonts w:ascii="Times New Roman" w:hAnsi="Times New Roman" w:eastAsia="Times New Roman" w:cs="Times New Roman"/>
                  <w:sz w:val="28"/>
                  <w:color w:val="0563C1"/>
                </w:rPr>
                <w:t>hitpipe/hitpipe</w:t>
              </w:r>
            </w:hyperlink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Интегрированная версия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main, commit 73aef8d976c9f0676ee568d8dc5a82c8d35a2f00; PR №12–19 объединены 19.10.2026</w:t>
            </w:r>
          </w:p>
        </w:tc>
      </w:tr>
    </w:tbl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2 Цель, проект и место модуля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Требования HP-BP-001/T/002–003 и DK-FR-01–03 связывают потребность оператора в безопасном доступе с конкретной операцией Evaluate(snapshot, observation). Прикладной сценарий AuthenticateSession.Service.Execute получает сведения через SessionLookup, затем считывает Clock и вызывает предметную проверку. Диагностическая команда собирает эти зависимости и отображает результат.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Модуль не выдаёт и не обновляет сессии, не выполняет OIDC-вход и не проверяет разрешение бизнес-действия. Согласованность SQL-хранилища, актуальность членства в рабочей области и барьер отзыва доступа относятся к другим обязанностям IAM. Такое разделение позволяет проверить правило времени и состояний независимо от транспорта и хранения.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 Ход работы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3.1 Контракт и документация до реализации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Контракт уточнён в PR №13, commit 9d7c37151606656e9dc2f2f65876b8bd93b397cd, до реализации в PR №14. Канонический локальный документ — services/iam/docs/module-contract.md. Комментарии GoDoc описывают назначение публичных типов, владение значениями и категории ошибок.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Часть контракта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Принятое поведение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Вход предметной функции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Snapshot: Found, Revoked, CreatedAt, ExpiresAt, IdleExpiresAt; Observation: At и Trusted. Передаются значения, а не изменяемое хранилище.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Ссылка на входные сведения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 1 до 128 ASCII-символов: первый — буква или цифра, следующие — буквы, цифры, подчёркивание или дефис. Это внутренний диагностический reference, а не формат cookie или сетевого Session UUID.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Корректность времени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Ненулевые значения с представимым UTC-годом 1–9999; created&lt;idle&lt;=absolute; created&lt;absolute; absolute-created&lt;=24 часа; now&gt;=created.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Истечение срока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now&gt;=deadline означает истечение. Льготного интервала нет. Текущий idle-срок принадлежит источнику сессии; без lastActivity его нельзя заново ограничить created+8 часов.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Приоритет причин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Недоверенное время → неизвестная сессия → отзыв → неверная хронология → создание в будущем → абсолютный срок → срок бездействия → действующая сессия.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Прикладные зависимости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SessionLookup.Lookup(ctx, ref) и Clock.Now(ctx). Интерфейсы определяет потребитель; адаптеры реализуют эти интерфейсы.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Ошибки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Отсутствующие и типизированные nil-зависимости отвергаются при создании; нулевой Service недоступен. Неверный reference/nil context дают отказ, отмена и сбой Lookup/Clock — недоступность.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Свежесть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Clock читается после успешного Lookup. Актуальность реального snapshot обязан обеспечивать адаптер источника.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Владение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Входы и результаты — значения; изменяемые указатели не передаются наружу. Service не хранит состояние запросов. Конкурентная безопасность зависимостей — обязательство их владельца.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Побочные эффекты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Domain не читает файлы, среду или часы и не изменяет вход. Прикладной сценарий не обновляет сессию. Файловый адаптер только читает синтетический JSON.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Безопасный результат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Ограниченный набор state/reason. Не выводятся исходные ошибки адаптера или парсера, reference, профиль и секреты. Valid не означает разрешение бизнес-действия.</w:t>
            </w:r>
          </w:p>
        </w:tc>
      </w:tr>
    </w:tbl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Пример: сессия создана в 00:00 UTC, idle-срок — 08:00, абсолютный — следующие 00:00. В 07:59:59.999999999 при доверенном времени результат valid; ровно в 08:00 — denied/idle_expired. Если истекли оба срока, выбирается absolute_expired. Ошибка Lookup даёт unavailable/lookup_unavailable, ошибка Clock — unavailable/clock_unavailable.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100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1-par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0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1 - Публичный контракт и существенная реализация (часть 1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094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1-par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1 - Публичный контракт и существенная реализация (часть 2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401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2-part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2 - Документация модуля по стандарту Go (часть 1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395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2-part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2 - Документация модуля по стандарту Go (часть 2 из 2)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3.2 Реализация и интеграция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Внутренняя структура следует подходу ports and adapters. Предметная функция находится в internal/domain/sessionpolicy, прикладной сценарий и его интерфейсы — в internal/application/authenticatesession. Файловый и часовой адаптеры расположены отдельно, а cmd/iam-contractcheck является точкой сборки.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PR №14 добавил чистое правило и диагностику, PR №15 — прикладного потребителя и адаптеры, PR №16 — расширенные проверки. Предметное правило не скопировано в CLI: реальная команда вызывает Service.Execute, который использует ту же Evaluate.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В опубликованном техническом ревью Тимофея Патрушева код PR №12–18 получил положительную оценку в пределах рассмотренного участка. Два замечания к отчётному пакету — каталог запуска Go-команд и перенос строк таблиц — исправлены. Изменения объединены в основную ветку; обязательные проверки IAM, Intake, Processing и Delivery завершились успешно.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3.3 Две реализации за одной границей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Service.Execute зависит от SessionLookup. NewFile при обращении читает и строго разбирает синтетический JSON; NewFixed возвращает неизменяемую копию переданного значения. Переключение выполняется в точке сборки и не требует изменения потребителя.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Обе реализации предназначены для ограниченного диагностического сценария с одним snapshot. Они не являются производственным многосессионным хранилищем. FixedClock возвращает заданное наблюдение; изменение файла само по себе не делает это время актуальным. Для SystemClock требуется явный HealthProbe; отсутствующая или отрицательная проверка исправности приводит к недоступности, а не к фиктивному успеху.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332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3-part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3 - Один потребитель и две реализации зависимости (часть 1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3262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3-part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3 - Один потребитель и две реализации зависимости (часть 2 из 2)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3.4 Карта модулей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Путь внутри services/iam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internal/domain/sessionpolicy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Ответственность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Evaluate, Snapshot, Observation, Decision; проверка переданных значений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Прямые внутренние зависимости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Нет; используется стандартный пакет time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Путь внутри services/iam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internal/application/authenticatesession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Ответственность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New, Service.Execute, SessionLookup, Clock, Result; порядок обращения к зависимостям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Прямые внутренние зависимости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domain/sessionpolicy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Путь внутри services/iam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internal/adapters/fixtures/sessionlookup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Ответственность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Decode, NewFile, NewFixed, NewFixedClock; синтетический ввод и подмена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Прямые внутренние зависимости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application/authenticatesession, domain/sessionpolicy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Путь внутри services/iam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internal/adapters/clock/system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Ответственность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Чтение системных часов через явно переданный HealthProbe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Прямые внутренние зависимости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application/authenticatesession, domain/sessionpolicy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Путь внутри services/iam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cmd/iam-contractcheck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Ответственность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Выбор реализаций, сборка зависимостей, вызов Execute, безопасный вывод и завершение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Прямые внутренние зависимости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Прикладной пакет и оба адаптера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Стрелка A→B означает, что исходный пакет A импортирует B. Направление исходных зависимостей отличается от направления вызовов интерфейса во время исполнения: прикладной код вызывает порт, но не импортирует конкретный адаптер. Проверка go list и сборка не обнаружили циклов или импортов внутренностей другого сервиса. Владелец перечисленных модулей — Дмитрий Карачебан.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833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4-part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4 - Модульная карта с импортами, автором и статусами (часть 1 из 2)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4827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4-part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4 - Модульная карта с импортами, автором и статусами (часть 2 из 2)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3.5 Профиль сложности и собственное решение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Первое направление сложности — взаимодействие компонентов. После ожидания Lookup нельзя использовать устаревшее время или превращать ошибку в сохранённый успешный ответ. Существующий кандидат исследования — Service.Execute с портами Lookup/Clock. Тесты задержанного чтения, ошибки и отмены проверяют требуемый порядок. Следующий шаг — реальный источник с договорённостями о таймауте и свежести данных.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Второе направление — представление и обработка состояния. Минимальный snapshot должен сохранять владение значениями, точную границу истечения и однозначный порядок причин. Исследуемый объект — Evaluate с фиксированными датами и таблицей решений. Граничные, конкурентные и проверяющие неизменность тесты выполнены. SQL-согласованность и долговечность относятся к будущему адаптеру хранения.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Третье, перспективное направление — стоимость копирования временных значений и разбора JSON. Для него существуют исполняемый кандидат и воспроизводимые входы, но узкое место не установлено. Измерения benchmark, CPU/alloc pprof и trace имеют смысл после определения представительной нагрузки; размер бинарника не заменяет этих измерений.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Собственное решение DK-ADR-001, автор Дмитрий Карачебан, сравнивает три варианта: правило непосредственно в CLI и прямой time.Now; немедленное подключение SQL/OIDC; чистое предметное правило с портами и адаптерами. Выбран третий вариант. Он обеспечивает повторное использование и детерминированную проверку, а ценой являются дополнительные интерфейсы, проверка nil-зависимостей и необходимость настоящих адаптеров на следующем этапе. Решение подтверждается картой импортов, подменой, тестами ошибок и границ, детектором гонок и мутационными проверками.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 Результаты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4.1 Поведенческая проверка обеих реализаций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TestSameConsumerContractWithBothAdapters запускает один Service.Execute с File и Fixed. Для каждой реализации исполнены normal, idle_equal, unknown, revoked и error. Итого проверены не менее трёх требуемых категорий — штатная, ошибочная и граничная — для двух реализаций.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Категория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Штатная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Ожидание для File и Fixed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valid/session_valid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Успешно для обеих реализаций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Категория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Равенство idle-срока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Ожидание для File и Fixed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denied/idle_expired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Успешно для обеих реализаций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Категория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Неизвестная сессия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Ожидание для File и Fixed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denied с причиной неизвестности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Успешно для обеих реализаций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Категория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Отозванная сессия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Ожидание для File и Fixed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denied с причиной отзыва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Успешно для обеих реализаций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806"/>
        <w:gridCol w:w="6548"/>
      </w:tblGrid>
      <w:tr>
        <w:trPr>
          <w:cantSplit/>
          <w:tblHeader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Категория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8"/>
                <w:lang w:val="ru-RU"/>
              </w:rPr>
              <w:t>Ошибка чтения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Ожидание для File и Fixed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unavailable/lookup_unavailable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type="dxa" w:w="6548"/>
          </w:tcPr>
          <w:p>
            <w:pPr>
              <w:widowControl/>
              <w:spacing w:line="360" w:lineRule="auto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Успешно для обеих реализаций</w:t>
            </w:r>
          </w:p>
        </w:tc>
      </w:tr>
    </w:tbl>
    <w:p>
      <w:pPr>
        <w:widowControl/>
        <w:spacing w:line="360" w:lineRule="auto" w:before="0" w:after="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Дополнительно проверены повторное чтение File, независимость Fixed от последующего изменения исходного значения, 32 параллельных чтения, типизированный nil, ошибка часов и отмена контекста. Локальные проверки и CI прошли; детектор гонок не обнаружил конфликтов в исполненных сценариях.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70747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7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5 - Штатный, ошибочный и граничный случай обеих реализаций</w:t>
      </w:r>
    </w:p>
    <w:p>
      <w:pPr>
        <w:pStyle w:val="2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4.2 Техническая проверка модуля другого участника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19 октября 2026 года на интегрированной версии 73aef8d976c9f0676ee568d8dc5a82c8d35a2f00 выполнено техническое воспроизведение компонента Processing, за который отвечает Тимофей Патрушев. Использовано отдельное чистое рабочее дерево репозитория; проверка не требует ключей внешних сервисов или персональных данных.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Из корня репозитория выполнены проверка Processing с детектором гонок, диагностический запуск в режимах dev/release, тест TestReaderSubstitution и получение списка импортов. Все четыре команды завершились с кодом 0. Для File-реализации и тестовой подмены SourceFactsReader проверены штатный, ошибочный и граничные случаи. Карта зависимостей сопоставлена с фактическими импортами; циклов не обнаружено. Полные команды, параметры среды, время и результаты сохранены в evidence/peer-technical.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Рассмотрены контракт PaidOrderEligibility, потребитель EvaluatePaidOrder и подмена SourceFactsReader. Результаты относятся к объявленному локальному сценарию Processing. Они не подтверждают живое взаимодействие с платёжным провайдером.</w:t>
      </w:r>
    </w:p>
    <w:p>
      <w:pPr>
        <w:keepNext/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  <w:drawing>
          <wp:inline xmlns:a="http://schemas.openxmlformats.org/drawingml/2006/main" xmlns:pic="http://schemas.openxmlformats.org/drawingml/2006/picture">
            <wp:extent cx="5760000" cy="57099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4-pz02-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0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keepNext w:val="0"/>
        <w:keepLines/>
        <w:widowControl/>
        <w:spacing w:line="360" w:lineRule="auto" w:before="12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Рисунок 6 - Проверка контракта и подмены в Processing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5 Заключение и индивидуальный вклад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Модуль Дмитрия Карачебана имеет определённую ответственность, документированный контракт, существенную реализацию и реального потребителя. Конкретные зависимости заменяются в точке сборки; потребитель остаётся неизменным. Подтверждены штатные, ошибочные и граничные исходы двух реализаций.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Карта импортов соответствует исходникам, владение данными и побочные эффекты определены. Профиль сложности и DK-ADR-001 задают проверяемое основание для дальнейшего развития IAM. Настоящие адаптеры хранения и аутентификации могут быть добавлены за установленными границами без переноса предметного правила в инфраструктурный слой.</w:t>
      </w:r>
    </w:p>
    <w:p>
      <w:pPr>
        <w:pStyle w:val="1"/>
        <w:keepNext/>
        <w:keepLines/>
        <w:widowControl/>
        <w:spacing w:line="360" w:lineRule="auto" w:before="240" w:after="120"/>
        <w:ind w:left="0" w:right="0"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  <w:lang w:val="ru-RU"/>
        </w:rPr>
        <w:t>СПИСОК ИСПОЛЬЗОВАННЫХ МАТЕРИАЛОВ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1. Методические указания к практическим работам №1 «Подготовка инструментального контура программного проекта» и №2 «Модульная архитектура» по МДК01.04. Актуальные редакции, предоставленные преподавателем.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2. Методические указания к практическим работам №1 «Требования и регламент» и №2 «Проектирование и реализация системы проверок программного продукта» по МДК03.02. Актуальные редакции, предоставленные преподавателем.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>3. Проект HitPipe: описание MVP, регламент изменений, решение о технологическом стеке LAB-STACK-001; архитектурные материалы HP-BP-001, разделы T/002, T/003, T/013, и HP-BP-007, раздел T/005. Копии исходных документов и контрольные суммы — docs/labs/pr12/upstream и source-files.json.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4. </w:t>
      </w:r>
      <w:hyperlink r:id="rId26">
        <w:r>
          <w:rPr>
            <w:rFonts w:ascii="Times New Roman" w:hAnsi="Times New Roman" w:eastAsia="Times New Roman" w:cs="Times New Roman"/>
            <w:sz w:val="28"/>
            <w:color w:val="0563C1"/>
          </w:rPr>
          <w:t>Исходный код и документация IAM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: module-contract.md, policy.go, service.go, адаптеры, диагностическая команда и тесты.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5. </w:t>
      </w:r>
      <w:hyperlink r:id="rId27">
        <w:r>
          <w:rPr>
            <w:rFonts w:ascii="Times New Roman" w:hAnsi="Times New Roman" w:eastAsia="Times New Roman" w:cs="Times New Roman"/>
            <w:sz w:val="28"/>
            <w:color w:val="0563C1"/>
          </w:rPr>
          <w:t>Материалы индивидуального участка Дмитрия Карачебана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: требования, карта модулей, DK-ADR-001, проектирование тестов, результаты и реестр рисков.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6. </w:t>
      </w:r>
      <w:hyperlink r:id="rId28">
        <w:r>
          <w:rPr>
            <w:rFonts w:ascii="Times New Roman" w:hAnsi="Times New Roman" w:eastAsia="Times New Roman" w:cs="Times New Roman"/>
            <w:sz w:val="28"/>
            <w:color w:val="0563C1"/>
          </w:rPr>
          <w:t>Изменение требований, PR №13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 xml:space="preserve">, </w:t>
      </w:r>
      <w:hyperlink r:id="rId29">
        <w:r>
          <w:rPr>
            <w:rFonts w:ascii="Times New Roman" w:hAnsi="Times New Roman" w:eastAsia="Times New Roman" w:cs="Times New Roman"/>
            <w:sz w:val="28"/>
            <w:color w:val="0563C1"/>
          </w:rPr>
          <w:t>реализация модуля, PR №14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 xml:space="preserve">, </w:t>
      </w:r>
      <w:hyperlink r:id="rId30">
        <w:r>
          <w:rPr>
            <w:rFonts w:ascii="Times New Roman" w:hAnsi="Times New Roman" w:eastAsia="Times New Roman" w:cs="Times New Roman"/>
            <w:sz w:val="28"/>
            <w:color w:val="0563C1"/>
          </w:rPr>
          <w:t>итоги технического ревью, PR №19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  <w:lang w:val="ru-RU"/>
        </w:rPr>
        <w:t xml:space="preserve">7. </w:t>
      </w:r>
      <w:hyperlink r:id="rId13">
        <w:r>
          <w:rPr>
            <w:rFonts w:ascii="Times New Roman" w:hAnsi="Times New Roman" w:eastAsia="Times New Roman" w:cs="Times New Roman"/>
            <w:sz w:val="28"/>
            <w:color w:val="0563C1"/>
          </w:rPr>
          <w:t>Успешный запуск CI для проверенной версии IAM</w:t>
        </w:r>
      </w:hyperlink>
      <w:r>
        <w:rPr>
          <w:rFonts w:ascii="Times New Roman" w:hAnsi="Times New Roman" w:eastAsia="Times New Roman" w:cs="Times New Roman"/>
          <w:sz w:val="28"/>
          <w:lang w:val="ru-RU"/>
        </w:rPr>
        <w:t>. Журналы повторных запусков на интегрированной версии и исходные изображения включены в электронные материалы работы.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i/>
      <w:caps/>
      <w:color w:val="000000" w:themeColor="text1"/>
      <w:sz w:val="28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 w:themeColor="text1"/>
      <w:sz w:val="28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 w:themeColor="text1"/>
      <w:sz w:val="28"/>
      <w:szCs w:val="24"/>
    </w:rPr>
  </w:style>
  <w:style w:type="character" w:default="1" w:styleId="a3">
    <w:name w:val="Default Paragraph Font"/>
    <w:uiPriority w:val="1"/>
    <w:semiHidden/>
    <w:unhideWhenUsed/>
    <w:rPr>
      <w:rFonts w:ascii="Times New Roman" w:hAnsi="Times New Roman"/>
      <w:sz w:val="28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 w:ascii="Times New Roman" w:hAnsi="Times New Roman"/>
      <w:b/>
      <w:bCs/>
      <w:caps/>
      <w:color w:val="000000" w:themeColor="text1"/>
      <w:sz w:val="28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rFonts w:ascii="Times New Roman" w:hAnsi="Times New Roman"/>
      <w:i/>
      <w:iCs/>
      <w:sz w:val="28"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bCs/>
      <w:kern w:val="28"/>
      <w:sz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 w:ascii="Times New Roman" w:hAnsi="Times New Roman"/>
      <w:b/>
      <w:bCs/>
      <w:kern w:val="28"/>
      <w:sz w:val="28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 w:ascii="Times New Roman" w:hAnsi="Times New Roman"/>
      <w:b/>
      <w:bCs/>
      <w:color w:val="000000" w:themeColor="text1"/>
      <w:sz w:val="28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8"/>
    </w:r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rFonts w:ascii="Times New Roman" w:hAnsi="Times New Roman"/>
      <w:sz w:val="28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rFonts w:ascii="Times New Roman" w:hAnsi="Times New Roman"/>
      <w:sz w:val="28"/>
    </w:r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rFonts w:ascii="Times New Roman" w:hAnsi="Times New Roman"/>
      <w:sz w:val="28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8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 w:ascii="Times New Roman" w:hAnsi="Times New Roman"/>
      <w:b/>
      <w:bCs/>
      <w:color w:val="000000" w:themeColor="text1"/>
      <w:sz w:val="28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Times New Roman" w:hAnsi="Times New Roman" w:cs="Segoe UI"/>
      <w:sz w:val="2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Times New Roman" w:hAnsi="Times New Roman" w:cs="Segoe UI"/>
      <w:sz w:val="2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8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rFonts w:ascii="Times New Roman" w:hAnsi="Times New Roman"/>
      <w:sz w:val="28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Times New Roman" w:hAnsi="Times New Roman" w:cs="Times New Roman"/>
      <w:sz w:val="28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Times New Roman" w:hAnsi="Times New Roman" w:cs="Times New Roman"/>
      <w:sz w:val="28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 w:ascii="Times New Roman" w:hAnsi="Times New Roman"/>
      <w:bCs/>
      <w:sz w:val="28"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8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rFonts w:ascii="Times New Roman" w:hAnsi="Times New Roman"/>
      <w:sz w:val="28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rFonts w:ascii="Times New Roman" w:hAnsi="Times New Roman"/>
      <w:sz w:val="28"/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rFonts w:ascii="Times New Roman" w:hAnsi="Times New Roman"/>
      <w:noProof/>
      <w:sz w:val="28"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rFonts w:ascii="Times New Roman" w:hAnsi="Times New Roman"/>
      <w:sz w:val="28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rFonts w:ascii="Times New Roman" w:hAnsi="Times New Roman"/>
      <w:noProof/>
      <w:sz w:val="28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  <w:rPr>
      <w:rFonts w:ascii="Times New Roman" w:hAnsi="Times New Roman"/>
      <w:sz w:val="28"/>
    </w:r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  <w:rPr>
      <w:rFonts w:ascii="Times New Roman" w:hAnsi="Times New Roman"/>
      <w:sz w:val="28"/>
    </w:r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  <w:rPr>
      <w:rFonts w:ascii="Times New Roman" w:hAnsi="Times New Roman"/>
      <w:sz w:val="28"/>
    </w:rPr>
  </w:style>
  <w:style w:type="character" w:styleId="aff">
    <w:name w:val="Hyperlink"/>
    <w:basedOn w:val="a3"/>
    <w:uiPriority w:val="99"/>
    <w:rsid w:val="00B65E4B"/>
    <w:rPr>
      <w:rFonts w:ascii="Times New Roman" w:hAnsi="Times New Roman"/>
      <w:color w:val="0563C1" w:themeColor="hyperlink"/>
      <w:sz w:val="28"/>
      <w:u w:val="single"/>
    </w:rPr>
  </w:style>
  <w:style w:type="character" w:styleId="aff0">
    <w:name w:val="Placeholder Text"/>
    <w:basedOn w:val="a3"/>
    <w:uiPriority w:val="99"/>
    <w:semiHidden/>
    <w:rsid w:val="00105013"/>
    <w:rPr>
      <w:rFonts w:ascii="Times New Roman" w:hAnsi="Times New Roman"/>
      <w:color w:val="808080"/>
      <w:sz w:val="28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rFonts w:ascii="Times New Roman" w:hAnsi="Times New Roman"/>
      <w:color w:val="605E5C"/>
      <w:sz w:val="28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rFonts w:ascii="Times New Roman" w:hAnsi="Times New Roman"/>
      <w:color w:val="954F72" w:themeColor="followedHyperlink"/>
      <w:sz w:val="28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rFonts w:ascii="Times New Roman" w:hAnsi="Times New Roman"/>
      <w:sz w:val="28"/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rFonts w:ascii="Times New Roman" w:hAnsi="Times New Roman"/>
      <w:b/>
      <w:sz w:val="28"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8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8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ascii="Times New Roman" w:hAnsi="Times New Roman"/>
      <w:caps/>
      <w:sz w:val="28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rFonts w:ascii="Times New Roman" w:hAnsi="Times New Roman"/>
      <w:sz w:val="28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hAnsi="Times New Roman"/>
      <w:sz w:val="28"/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8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rFonts w:ascii="Times New Roman" w:hAnsi="Times New Roman"/>
      <w:i/>
      <w:iCs/>
      <w:sz w:val="28"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hitpipe.atlassian.net/browse/HIT-11" TargetMode="External"/><Relationship Id="rId12" Type="http://schemas.openxmlformats.org/officeDocument/2006/relationships/hyperlink" Target="https://github.com/hitpipe/hitpipe/tree/2cd7c032e8ede98c75181599b440e97657bff197/docs/labs/pr12/dk" TargetMode="External"/><Relationship Id="rId13" Type="http://schemas.openxmlformats.org/officeDocument/2006/relationships/hyperlink" Target="https://github.com/hitpipe/hitpipe/actions/runs/39177171258/job/117822118583" TargetMode="External"/><Relationship Id="rId14" Type="http://schemas.openxmlformats.org/officeDocument/2006/relationships/hyperlink" Target="https://github.com/hitpipe/hitpipe/tree/2cd7c032e8ede98c75181599b440e97657bff197/services/iam" TargetMode="External"/><Relationship Id="rId15" Type="http://schemas.openxmlformats.org/officeDocument/2006/relationships/hyperlink" Target="https://github.com/hitpipe/hitpipe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hyperlink" Target="https://github.com/hitpipe/hitpipe/tree/73aef8d976c9f0676ee568d8dc5a82c8d35a2f00/services/iam" TargetMode="External"/><Relationship Id="rId27" Type="http://schemas.openxmlformats.org/officeDocument/2006/relationships/hyperlink" Target="https://github.com/hitpipe/hitpipe/tree/73aef8d976c9f0676ee568d8dc5a82c8d35a2f00/docs/labs/pr12/dk" TargetMode="External"/><Relationship Id="rId28" Type="http://schemas.openxmlformats.org/officeDocument/2006/relationships/hyperlink" Target="https://github.com/hitpipe/hitpipe/pull/13" TargetMode="External"/><Relationship Id="rId29" Type="http://schemas.openxmlformats.org/officeDocument/2006/relationships/hyperlink" Target="https://github.com/hitpipe/hitpipe/pull/14" TargetMode="External"/><Relationship Id="rId30" Type="http://schemas.openxmlformats.org/officeDocument/2006/relationships/hyperlink" Target="https://github.com/hitpipe/hitpipe/pull/19#issuecomment-6271215905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Модульная архитектура</dc:title>
  <dc:subject>Индивидуальный отчёт о практической работе</dc:subject>
  <dc:creator>Дмитрий Карачебан</dc:creator>
  <cp:keywords>HitPipe; IAM; Дмитрий Карачебан</cp:keywords>
  <dc:description/>
  <cp:lastModifiedBy>Дмитрий Карачебан</cp:lastModifiedBy>
  <cp:revision>2</cp:revision>
  <dcterms:created xsi:type="dcterms:W3CDTF">2026-10-19T18:26:50Z</dcterms:created>
  <dcterms:modified xsi:type="dcterms:W3CDTF">2026-10-19T18:26:50Z</dcterms:modified>
</cp:coreProperties>
</file>