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</w:t>
      </w:r>
    </w:p>
    <w:p w:rsidR="002C377F" w:rsidRPr="005F3E53" w:rsidRDefault="00E16E87" w:rsidP="002C377F">
      <w:pPr>
        <w:pStyle w:val="-4"/>
      </w:pPr>
      <w:r>
        <w:t xml:space="preserve">ОТЧЕТ </w:t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rPr>
          <w:tblHeader w:val="true"/>
        </w:trPr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rPr>
          <w:tblHeader w:val="true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t>Модульная архитектура и контракт программного модуля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по МДК.01.04 «Системное программирование»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  <w:r/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  <w:r/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>
        <w:t>РАБОТУ 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rPr>
          <w:tblHeader w:val="true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>
              <w:t xml:space="preserve">Студент гр.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>
              <w:t>инициалы, фамилия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</w:r>
    </w:p>
    <w:p>
      <w:r/>
    </w:p>
    <w:p>
      <w:pPr>
        <w:pStyle w:val="af9"/>
      </w:pPr>
      <w:r>
        <w:t>ВВЕДЕНИЕ</w:t>
      </w:r>
    </w:p>
    <w:p>
      <w:r>
        <w:t>Экспортная форма подготовлена по разделу 5 и приложению А актуальной методички МДК01.04. Отдельного исходного шаблона преподавателя для этой дисциплины во вложениях нет. Совместную сдачу с отчётом другого МДК не считать автоматически разрешённой.</w:t>
      </w:r>
    </w:p>
    <w:p>
      <w:pPr>
        <w:pStyle w:val="af7"/>
      </w:pPr>
      <w:r>
        <w:t>1 Сведения о работе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677"/>
          </w:tcPr>
          <w:p>
            <w:r>
              <w:t>Поле</w:t>
            </w:r>
          </w:p>
        </w:tc>
        <w:tc>
          <w:tcPr>
            <w:tcW w:type="dxa" w:w="4677"/>
          </w:tcPr>
          <w:p>
            <w:r>
              <w:t>Значение</w:t>
            </w:r>
          </w:p>
        </w:tc>
      </w:tr>
      <w:tr>
        <w:tc>
          <w:tcPr>
            <w:tcW w:type="dxa" w:w="4677"/>
          </w:tcPr>
          <w:p>
            <w:r>
              <w:t>ФИО, группа</w:t>
            </w:r>
          </w:p>
        </w:tc>
        <w:tc>
          <w:tcPr>
            <w:tcW w:type="dxa" w:w="4677"/>
          </w:tcPr>
          <w:p>
            <w:r>
              <w:t>Дмитрий Стацюк, не указана</w:t>
            </w:r>
          </w:p>
        </w:tc>
      </w:tr>
      <w:tr>
        <w:tc>
          <w:tcPr>
            <w:tcW w:type="dxa" w:w="4677"/>
          </w:tcPr>
          <w:p>
            <w:r>
              <w:t>Проект и команда</w:t>
            </w:r>
          </w:p>
        </w:tc>
        <w:tc>
          <w:tcPr>
            <w:tcW w:type="dxa" w:w="4677"/>
          </w:tcPr>
          <w:p>
            <w:r>
              <w:t>HitPipe; пять участников</w:t>
            </w:r>
          </w:p>
        </w:tc>
      </w:tr>
      <w:tr>
        <w:tc>
          <w:tcPr>
            <w:tcW w:type="dxa" w:w="4677"/>
          </w:tcPr>
          <w:p>
            <w:r>
              <w:t>Собственная зона/компонент</w:t>
            </w:r>
          </w:p>
        </w:tc>
        <w:tc>
          <w:tcPr>
            <w:tcW w:type="dxa" w:w="4677"/>
          </w:tcPr>
          <w:p>
            <w:r>
              <w:t>TargetReadback / services/delivery</w:t>
            </w:r>
          </w:p>
        </w:tc>
      </w:tr>
      <w:tr>
        <w:tc>
          <w:tcPr>
            <w:tcW w:type="dxa" w:w="4677"/>
          </w:tcPr>
          <w:p>
            <w:r>
              <w:t>Тег → commit</w:t>
            </w:r>
          </w:p>
        </w:tc>
        <w:tc>
          <w:tcPr>
            <w:tcW w:type="dxa" w:w="4677"/>
          </w:tcPr>
          <w:p>
            <w:r>
              <w:t>не создан — human/Lead gate; correction source bafc97a0eb5cc2b2aba68c04a74b179b61432d82</w:t>
            </w:r>
          </w:p>
        </w:tc>
      </w:tr>
      <w:tr>
        <w:tc>
          <w:tcPr>
            <w:tcW w:type="dxa" w:w="4677"/>
          </w:tcPr>
          <w:p>
            <w:r>
              <w:t>Репозиторий</w:t>
            </w:r>
          </w:p>
        </w:tc>
        <w:tc>
          <w:tcPr>
            <w:tcW w:type="dxa" w:w="4677"/>
          </w:tcPr>
          <w:p>
            <w:r>
              <w:t>https://github.com/hitpipe/hitpipe</w:t>
            </w:r>
          </w:p>
        </w:tc>
      </w:tr>
      <w:tr>
        <w:tc>
          <w:tcPr>
            <w:tcW w:type="dxa" w:w="4677"/>
          </w:tcPr>
          <w:p>
            <w:r>
              <w:t>Вариант выполнения</w:t>
            </w:r>
          </w:p>
        </w:tc>
        <w:tc>
          <w:tcPr>
            <w:tcW w:type="dxa" w:w="4677"/>
          </w:tcPr>
          <w:p>
            <w:r>
              <w:t>Собственная зона ответственности</w:t>
            </w:r>
          </w:p>
        </w:tc>
      </w:tr>
      <w:tr>
        <w:tc>
          <w:tcPr>
            <w:tcW w:type="dxa" w:w="4677"/>
          </w:tcPr>
          <w:p>
            <w:r>
              <w:t>Состояние отчёта</w:t>
            </w:r>
          </w:p>
        </w:tc>
        <w:tc>
          <w:tcPr>
            <w:tcW w:type="dxa" w:w="4677"/>
          </w:tcPr>
          <w:p>
            <w:r>
              <w:t>CONTENT_READY_IMAGES_PENDING; automated content available, human screenshots/review/merge pending</w:t>
            </w:r>
          </w:p>
        </w:tc>
      </w:tr>
    </w:tbl>
    <w:p>
      <w:pPr>
        <w:pStyle w:val="af7"/>
      </w:pPr>
      <w:r>
        <w:t>2 Цель, проект и место модуля</w:t>
      </w:r>
    </w:p>
    <w:p>
      <w:r>
        <w:t>Цель: выделить модуль с содержательным правилом, контрактом и заменяемой реализацией. Цепочка: HIT-42 refinement / TargetReadback contract → consumer-owned read boundary and provenance preservation → Verifier.VerifyTarget(ctx, expected) → VerifyTarget. Вне границы: NOT CONDUCTED / HUMAN ACTION REQUIRED. Модульная карта NOT CONDUCTED / HUMAN ACTION REQUIRED; своя запись и автор Дмитрий Стацюк. Интерфейс/заглушка без реализованной логики не является результатом.</w:t>
      </w:r>
    </w:p>
    <w:p>
      <w:pPr>
        <w:pStyle w:val="af7"/>
      </w:pPr>
      <w:r>
        <w:t>3 Ход работы</w:t>
      </w:r>
    </w:p>
    <w:p>
      <w:pPr>
        <w:pStyle w:val="afa"/>
      </w:pPr>
      <w:r>
        <w:t>3.1 Контракт и документация до демонстрации реализации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677"/>
          </w:tcPr>
          <w:p>
            <w:r>
              <w:t>Часть контракта</w:t>
            </w:r>
          </w:p>
        </w:tc>
        <w:tc>
          <w:tcPr>
            <w:tcW w:type="dxa" w:w="4677"/>
          </w:tcPr>
          <w:p>
            <w:r>
              <w:t>Решение и источник</w:t>
            </w:r>
          </w:p>
        </w:tc>
      </w:tr>
      <w:tr>
        <w:tc>
          <w:tcPr>
            <w:tcW w:type="dxa" w:w="4677"/>
          </w:tcPr>
          <w:p>
            <w:r>
              <w:t>Назначение и публичная операция</w:t>
            </w:r>
          </w:p>
        </w:tc>
        <w:tc>
          <w:tcPr>
            <w:tcW w:type="dxa" w:w="4677"/>
          </w:tcPr>
          <w:p>
            <w:r>
              <w:t>VerifyTarget compares one requested target through consumer-owned TargetReader; services/delivery/internal/application/verifytarget/verifytarget.go</w:t>
            </w:r>
          </w:p>
        </w:tc>
      </w:tr>
      <w:tr>
        <w:tc>
          <w:tcPr>
            <w:tcW w:type="dxa" w:w="4677"/>
          </w:tcPr>
          <w:p>
            <w:r>
              <w:t>Допустимые входы и предусловия</w:t>
            </w:r>
          </w:p>
        </w:tc>
        <w:tc>
          <w:tcPr>
            <w:tcW w:type="dxa" w:w="4677"/>
          </w:tcPr>
          <w:p>
            <w:r>
              <w:t>non-empty target ID; Expected projection; FileReader strict JSON or test double with target/provenance; requirements.md FR-1–FR-4</w:t>
            </w:r>
          </w:p>
        </w:tc>
      </w:tr>
      <w:tr>
        <w:tc>
          <w:tcPr>
            <w:tcW w:type="dxa" w:w="4677"/>
          </w:tcPr>
          <w:p>
            <w:r>
              <w:t>Результат и постусловия</w:t>
            </w:r>
          </w:p>
        </w:tc>
        <w:tc>
          <w:tcPr>
            <w:tcW w:type="dxa" w:w="4677"/>
          </w:tcPr>
          <w:p>
            <w:r>
              <w:t>typed match/mismatch/incomplete/unknown Result plus target and provenance; no write/retry/provider side effect</w:t>
            </w:r>
          </w:p>
        </w:tc>
      </w:tr>
      <w:tr>
        <w:tc>
          <w:tcPr>
            <w:tcW w:type="dxa" w:w="4677"/>
          </w:tcPr>
          <w:p>
            <w:r>
              <w:t>Категории ошибок и порядок при нескольких нарушениях</w:t>
            </w:r>
          </w:p>
        </w:tc>
        <w:tc>
          <w:tcPr>
            <w:tcW w:type="dxa" w:w="4677"/>
          </w:tcPr>
          <w:p>
            <w:r>
              <w:t>read/provenance failure→unknown; invalid/empty structure→incomplete; field difference→mismatch; match only after every guard</w:t>
            </w:r>
          </w:p>
        </w:tc>
      </w:tr>
      <w:tr>
        <w:tc>
          <w:tcPr>
            <w:tcW w:type="dxa" w:w="4677"/>
          </w:tcPr>
          <w:p>
            <w:r>
              <w:t>Владение входом/выходом, срок действия ссылок</w:t>
            </w:r>
          </w:p>
        </w:tc>
        <w:tc>
          <w:tcPr>
            <w:tcW w:type="dxa" w:w="4677"/>
          </w:tcPr>
          <w:p>
            <w:r>
              <w:t>consumer owns TargetReader port; adapter owns saved observation decode; result owns no mutable provider state; source/time provenance required</w:t>
            </w:r>
          </w:p>
        </w:tc>
      </w:tr>
      <w:tr>
        <w:tc>
          <w:tcPr>
            <w:tcW w:type="dxa" w:w="4677"/>
          </w:tcPr>
          <w:p>
            <w:r>
              <w:t>Состояние и побочные эффекты, явно если отсутствуют</w:t>
            </w:r>
          </w:p>
        </w:tc>
        <w:tc>
          <w:tcPr>
            <w:tcW w:type="dxa" w:w="4677"/>
          </w:tcPr>
          <w:p>
            <w:r>
              <w:t>read-only observation; no network, DB, retry, message, or state transition; live authority and permissions are outside offline slice</w:t>
            </w:r>
          </w:p>
        </w:tc>
      </w:tr>
    </w:tbl>
    <w:p>
      <w:r>
        <w:t>Контракт рядом с кодом services/delivery/docs/module-contract.md; документация стандартом стека Markdown module contract plus Go tests содержит назначение, вход, результат, ошибки, зависимости и пример. Рисунки 1–2.</w:t>
      </w:r>
    </w:p>
    <w:p>
      <w:pPr>
        <w:pStyle w:val="afa"/>
      </w:pPr>
      <w:r>
        <w:t>3.2 Реализация и интеграция</w:t>
      </w:r>
    </w:p>
    <w:p>
      <w:r>
        <w:t>Собственная существенная логика unknown on retrieval error; mismatch/incomplete do not become verified в services/delivery реально вызывается потребителем services/delivery/internal/application/verifytarget/verifytarget.go без зависимости от внутренних структур. Задача/ветка/PR/проверки/независимый review/merge Correction PR #29 https://github.com/hitpipe/hitpipe/pull/29; original requirement/review history remains in the repository records. Сборка, конфигурация, версия и диагностика ПР1 сохраняются. Рисунок 1.</w:t>
      </w:r>
    </w:p>
    <w:p>
      <w:pPr>
        <w:pStyle w:val="afa"/>
      </w:pPr>
      <w:r>
        <w:t>3.3 Подмена за одной границей без изменения потребителя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</w:tcPr>
          <w:p>
            <w:r>
              <w:t>Реализация</w:t>
            </w:r>
          </w:p>
        </w:tc>
        <w:tc>
          <w:tcPr>
            <w:tcW w:type="dxa" w:w="2339"/>
          </w:tcPr>
          <w:p>
            <w:r>
              <w:t>Как выбирается в точке сборки</w:t>
            </w:r>
          </w:p>
        </w:tc>
        <w:tc>
          <w:tcPr>
            <w:tcW w:type="dxa" w:w="2339"/>
          </w:tcPr>
          <w:p>
            <w:r>
              <w:t>Сценарий и результат</w:t>
            </w:r>
          </w:p>
        </w:tc>
        <w:tc>
          <w:tcPr>
            <w:tcW w:type="dxa" w:w="2339"/>
          </w:tcPr>
          <w:p>
            <w:r>
              <w:t>Ограничения доказательства</w:t>
            </w:r>
          </w:p>
        </w:tc>
      </w:tr>
      <w:tr>
        <w:tc>
          <w:tcPr>
            <w:tcW w:type="dxa" w:w="2339"/>
          </w:tcPr>
          <w:p>
            <w:r>
              <w:t>file-backed TargetReader</w:t>
            </w:r>
          </w:p>
        </w:tc>
        <w:tc>
          <w:tcPr>
            <w:tcW w:type="dxa" w:w="2339"/>
          </w:tcPr>
          <w:p>
            <w:r>
              <w:t>services/delivery/cmd/delivery-contractcheck/main.go</w:t>
            </w:r>
          </w:p>
        </w:tc>
        <w:tc>
          <w:tcPr>
            <w:tcW w:type="dxa" w:w="2339"/>
          </w:tcPr>
          <w:p>
            <w:r>
              <w:t>FileReader normal: Match; saved target/source/time accepted; log di-contract</w:t>
            </w:r>
          </w:p>
        </w:tc>
        <w:tc>
          <w:tcPr>
            <w:tcW w:type="dxa" w:w="2339"/>
          </w:tcPr>
          <w:p>
            <w:r>
              <w:t>saved observation adapter is not real provider access</w:t>
            </w:r>
          </w:p>
        </w:tc>
      </w:tr>
      <w:tr>
        <w:tc>
          <w:tcPr>
            <w:tcW w:type="dxa" w:w="2339"/>
          </w:tcPr>
          <w:p>
            <w:r>
              <w:t>fake TargetReader in tests</w:t>
            </w:r>
          </w:p>
        </w:tc>
        <w:tc>
          <w:tcPr>
            <w:tcW w:type="dxa" w:w="2339"/>
          </w:tcPr>
          <w:p>
            <w:r>
              <w:t>services/delivery/cmd/delivery-contractcheck/main.go</w:t>
            </w:r>
          </w:p>
        </w:tc>
        <w:tc>
          <w:tcPr>
            <w:tcW w:type="dxa" w:w="2339"/>
          </w:tcPr>
          <w:p>
            <w:r>
              <w:t>test double normal: Match; same VerifyTarget call and same expected projection</w:t>
            </w:r>
          </w:p>
        </w:tc>
        <w:tc>
          <w:tcPr>
            <w:tcW w:type="dxa" w:w="2339"/>
          </w:tcPr>
          <w:p>
            <w:r>
              <w:t>no final merge or external review</w:t>
            </w:r>
          </w:p>
        </w:tc>
      </w:tr>
    </w:tbl>
    <w:p>
      <w:r>
        <w:t>Доказательство неизменности потребителя bafc97a0eb5cc2b2aba68c04a74b179b61432d82; обе реализации одного контракта (либо подмена зависимости потребителя) выполняют один сценарий. Переписанный потребитель подменой не считается. Рисунок 3.</w:t>
      </w:r>
    </w:p>
    <w:p>
      <w:pPr>
        <w:pStyle w:val="afa"/>
      </w:pPr>
      <w:r>
        <w:t>3.4 Запись на общей модульной карте</w:t>
      </w:r>
    </w:p>
    <w:p>
      <w:r>
        <w:t>Имя, ответственность, контракт, зависимости исходного кода, путь, статус «работает/план», автор. A→B означает зависимость исходного кода A от контракта/типов B; направление вызова может отличаться. Проверено по реальным импортам и сборке NOT CONDUCTED / HUMAN ACTION REQUIRED; циклы объяснены No foreign service-internal imports; domain has no os/net/database/provider imports. Будущие части не показывать работающими. Рисунок 4.</w:t>
      </w:r>
    </w:p>
    <w:p>
      <w:pPr>
        <w:pStyle w:val="afa"/>
      </w:pPr>
      <w:r>
        <w:t>3.5 Два направления сложности, существующий модуль-кандидат и личный ADR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</w:tcPr>
          <w:p>
            <w:r>
              <w:t>Направление</w:t>
            </w:r>
          </w:p>
        </w:tc>
        <w:tc>
          <w:tcPr>
            <w:tcW w:type="dxa" w:w="2339"/>
          </w:tcPr>
          <w:p>
            <w:r>
              <w:t>Свой объект</w:t>
            </w:r>
          </w:p>
        </w:tc>
        <w:tc>
          <w:tcPr>
            <w:tcW w:type="dxa" w:w="2339"/>
          </w:tcPr>
          <w:p>
            <w:r>
              <w:t>Будущий исследовательский вопрос</w:t>
            </w:r>
          </w:p>
        </w:tc>
        <w:tc>
          <w:tcPr>
            <w:tcW w:type="dxa" w:w="2339"/>
          </w:tcPr>
          <w:p>
            <w:r>
              <w:t>Текущая готовность</w:t>
            </w:r>
          </w:p>
        </w:tc>
      </w:tr>
      <w:tr>
        <w:tc>
          <w:tcPr>
            <w:tcW w:type="dxa" w:w="2339"/>
          </w:tcPr>
          <w:p>
            <w:r>
              <w:t>domain → application via typed result</w:t>
            </w:r>
          </w:p>
        </w:tc>
        <w:tc>
          <w:tcPr>
            <w:tcW w:type="dxa" w:w="2339"/>
          </w:tcPr>
          <w:p>
            <w:r>
              <w:t>domain/readback → application/verifytarget → TargetReader; module-map.md and real imports; status implemented</w:t>
            </w:r>
          </w:p>
        </w:tc>
        <w:tc>
          <w:tcPr>
            <w:tcW w:type="dxa" w:w="2339"/>
          </w:tcPr>
          <w:p>
            <w:r>
              <w:t>Expected/Observation projections; no provider schema rewrite; status implemented</w:t>
            </w:r>
          </w:p>
        </w:tc>
        <w:tc>
          <w:tcPr>
            <w:tcW w:type="dxa" w:w="2339"/>
          </w:tcPr>
          <w:p>
            <w:r>
              <w:t>unknown; explicit</w:t>
            </w:r>
          </w:p>
        </w:tc>
      </w:tr>
      <w:tr>
        <w:tc>
          <w:tcPr>
            <w:tcW w:type="dxa" w:w="2339"/>
          </w:tcPr>
          <w:p>
            <w:r>
              <w:t>application → TargetReader via consumer-owned interface</w:t>
            </w:r>
          </w:p>
        </w:tc>
        <w:tc>
          <w:tcPr>
            <w:tcW w:type="dxa" w:w="2339"/>
          </w:tcPr>
          <w:p>
            <w:r>
              <w:t>NOT CONDUCTED / HUMAN ACTION REQUIRED</w:t>
            </w:r>
          </w:p>
        </w:tc>
        <w:tc>
          <w:tcPr>
            <w:tcW w:type="dxa" w:w="2339"/>
          </w:tcPr>
          <w:p>
            <w:r>
              <w:t>Can the verifier write or retry?</w:t>
            </w:r>
          </w:p>
        </w:tc>
        <w:tc>
          <w:tcPr>
            <w:tcW w:type="dxa" w:w="2339"/>
          </w:tcPr>
          <w:p>
            <w:r>
              <w:t>no; observational only</w:t>
            </w:r>
          </w:p>
        </w:tc>
      </w:tr>
    </w:tbl>
    <w:p>
      <w:r>
        <w:t>Модуль-кандидат уже существует в services/delivery/internal/domain/readback, изолированный воспроизводимый вход Expected task attributes, наблюдение retrieved TaskObservation. Узким местом без измерений не объявлять. Личный ADR NOT CONDUCTED / HUMAN ACTION REQUIRED: автор Дмитрий Стацюк, контекст, варианты, решение о границе, последствия и цена (типы, копирование, косвенность), способ проверки. Общий ADR архитектора не заменяет собственное обоснование студента.</w:t>
      </w:r>
    </w:p>
    <w:p>
      <w:pPr>
        <w:pStyle w:val="af7"/>
      </w:pPr>
      <w:r>
        <w:t>4 Результаты</w:t>
      </w:r>
    </w:p>
    <w:p>
      <w:pPr>
        <w:pStyle w:val="afa"/>
      </w:pPr>
      <w:r>
        <w:t>4.1 Проверки обеих реализаций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</w:tcPr>
          <w:p>
            <w:r>
              <w:t>Реализация</w:t>
            </w:r>
          </w:p>
        </w:tc>
        <w:tc>
          <w:tcPr>
            <w:tcW w:type="dxa" w:w="2339"/>
          </w:tcPr>
          <w:p>
            <w:r>
              <w:t>Случай</w:t>
            </w:r>
          </w:p>
        </w:tc>
        <w:tc>
          <w:tcPr>
            <w:tcW w:type="dxa" w:w="2339"/>
          </w:tcPr>
          <w:p>
            <w:r>
              <w:t>Ожидаемый по контракту результат</w:t>
            </w:r>
          </w:p>
        </w:tc>
        <w:tc>
          <w:tcPr>
            <w:tcW w:type="dxa" w:w="2339"/>
          </w:tcPr>
          <w:p>
            <w:r>
              <w:t>Фактический результат, команда, журнал</w:t>
            </w:r>
          </w:p>
        </w:tc>
      </w:tr>
      <w:tr>
        <w:tc>
          <w:tcPr>
            <w:tcW w:type="dxa" w:w="2339"/>
          </w:tcPr>
          <w:p>
            <w:r>
              <w:t>file-backed TargetReader</w:t>
            </w:r>
          </w:p>
        </w:tc>
        <w:tc>
          <w:tcPr>
            <w:tcW w:type="dxa" w:w="2339"/>
          </w:tcPr>
          <w:p>
            <w:r>
              <w:t>Штатный</w:t>
            </w:r>
          </w:p>
        </w:tc>
        <w:tc>
          <w:tcPr>
            <w:tcW w:type="dxa" w:w="2339"/>
          </w:tcPr>
          <w:p>
            <w:r>
              <w:t>Match</w:t>
            </w:r>
          </w:p>
        </w:tc>
        <w:tc>
          <w:tcPr>
            <w:tcW w:type="dxa" w:w="2339"/>
          </w:tcPr>
          <w:p>
            <w:r>
              <w:t>FileReader saved JSON; target-1; source fixture-file; observed_at RFC3339; di_contract_test.go</w:t>
            </w:r>
          </w:p>
        </w:tc>
      </w:tr>
      <w:tr>
        <w:tc>
          <w:tcPr>
            <w:tcW w:type="dxa" w:w="2339"/>
          </w:tcPr>
          <w:p>
            <w:r>
              <w:t>file-backed TargetReader</w:t>
            </w:r>
          </w:p>
        </w:tc>
        <w:tc>
          <w:tcPr>
            <w:tcW w:type="dxa" w:w="2339"/>
          </w:tcPr>
          <w:p>
            <w:r>
              <w:t>Граничный</w:t>
            </w:r>
          </w:p>
        </w:tc>
        <w:tc>
          <w:tcPr>
            <w:tcW w:type="dxa" w:w="2339"/>
          </w:tcPr>
          <w:p>
            <w:r>
              <w:t>Match</w:t>
            </w:r>
          </w:p>
        </w:tc>
        <w:tc>
          <w:tcPr>
            <w:tcW w:type="dxa" w:w="2339"/>
          </w:tcPr>
          <w:p>
            <w:r>
              <w:t>1,000-character Context and matching rendered block; FileReader boundary.json; di_contract_test.go</w:t>
            </w:r>
          </w:p>
        </w:tc>
      </w:tr>
      <w:tr>
        <w:tc>
          <w:tcPr>
            <w:tcW w:type="dxa" w:w="2339"/>
          </w:tcPr>
          <w:p>
            <w:r>
              <w:t>file-backed TargetReader</w:t>
            </w:r>
          </w:p>
        </w:tc>
        <w:tc>
          <w:tcPr>
            <w:tcW w:type="dxa" w:w="2339"/>
          </w:tcPr>
          <w:p>
            <w:r>
              <w:t>Ошибочный</w:t>
            </w:r>
          </w:p>
        </w:tc>
        <w:tc>
          <w:tcPr>
            <w:tcW w:type="dxa" w:w="2339"/>
          </w:tcPr>
          <w:p>
            <w:r>
              <w:t>Unknown</w:t>
            </w:r>
          </w:p>
        </w:tc>
        <w:tc>
          <w:tcPr>
            <w:tcW w:type="dxa" w:w="2339"/>
          </w:tcPr>
          <w:p>
            <w:r>
              <w:t>missing saved JSON path; FileReader returns os error; VerifyTarget preserves unknown</w:t>
            </w:r>
          </w:p>
        </w:tc>
      </w:tr>
      <w:tr>
        <w:tc>
          <w:tcPr>
            <w:tcW w:type="dxa" w:w="2339"/>
          </w:tcPr>
          <w:p>
            <w:r>
              <w:t>test TargetReader</w:t>
            </w:r>
          </w:p>
        </w:tc>
        <w:tc>
          <w:tcPr>
            <w:tcW w:type="dxa" w:w="2339"/>
          </w:tcPr>
          <w:p>
            <w:r>
              <w:t>Штатный</w:t>
            </w:r>
          </w:p>
        </w:tc>
        <w:tc>
          <w:tcPr>
            <w:tcW w:type="dxa" w:w="2339"/>
          </w:tcPr>
          <w:p>
            <w:r>
              <w:t>Match</w:t>
            </w:r>
          </w:p>
        </w:tc>
        <w:tc>
          <w:tcPr>
            <w:tcW w:type="dxa" w:w="2339"/>
          </w:tcPr>
          <w:p>
            <w:r>
              <w:t>doubleReader returns normal observation + non-zero provenance; unchanged consumer</w:t>
            </w:r>
          </w:p>
        </w:tc>
      </w:tr>
      <w:tr>
        <w:tc>
          <w:tcPr>
            <w:tcW w:type="dxa" w:w="2339"/>
          </w:tcPr>
          <w:p>
            <w:r>
              <w:t>test TargetReader</w:t>
            </w:r>
          </w:p>
        </w:tc>
        <w:tc>
          <w:tcPr>
            <w:tcW w:type="dxa" w:w="2339"/>
          </w:tcPr>
          <w:p>
            <w:r>
              <w:t>Граничный</w:t>
            </w:r>
          </w:p>
        </w:tc>
        <w:tc>
          <w:tcPr>
            <w:tcW w:type="dxa" w:w="2339"/>
          </w:tcPr>
          <w:p>
            <w:r>
              <w:t>Match</w:t>
            </w:r>
          </w:p>
        </w:tc>
        <w:tc>
          <w:tcPr>
            <w:tcW w:type="dxa" w:w="2339"/>
          </w:tcPr>
          <w:p>
            <w:r>
              <w:t>doubleReader returns quote-safe 1,000-character context and matching expected; distinct input</w:t>
            </w:r>
          </w:p>
        </w:tc>
      </w:tr>
      <w:tr>
        <w:tc>
          <w:tcPr>
            <w:tcW w:type="dxa" w:w="2339"/>
          </w:tcPr>
          <w:p>
            <w:r>
              <w:t>test TargetReader</w:t>
            </w:r>
          </w:p>
        </w:tc>
        <w:tc>
          <w:tcPr>
            <w:tcW w:type="dxa" w:w="2339"/>
          </w:tcPr>
          <w:p>
            <w:r>
              <w:t>Ошибочный</w:t>
            </w:r>
          </w:p>
        </w:tc>
        <w:tc>
          <w:tcPr>
            <w:tcW w:type="dxa" w:w="2339"/>
          </w:tcPr>
          <w:p>
            <w:r>
              <w:t>Unknown</w:t>
            </w:r>
          </w:p>
        </w:tc>
        <w:tc>
          <w:tcPr>
            <w:tcW w:type="dxa" w:w="2339"/>
          </w:tcPr>
          <w:p>
            <w:r>
              <w:t>doubleReader returns os.ErrNotExist; consumer maps read error to unknown</w:t>
            </w:r>
          </w:p>
        </w:tc>
      </w:tr>
    </w:tbl>
    <w:p>
      <w:r>
        <w:t>Рисунок 5 показывает фактические прогоны обоих наборов, не только объявленные тесты.</w:t>
      </w:r>
    </w:p>
    <w:p>
      <w:pPr>
        <w:pStyle w:val="afa"/>
      </w:pPr>
      <w:r>
        <w:t>4.2 Взаимная проверка модуля другого студента</w:t>
      </w:r>
    </w:p>
    <w:p>
      <w:r>
        <w:t>Проверяющий Дмитрий Стацюк, дата 2026-10-19, автор/модуль другого студента NOT CONDUCTED — H1, commit NOT APPLICABLE — H1, команды сборки, штатный/граничный/ошибочный случаи, подмена и сверка карты NOT CONDUCTED / HUMAN ACTION REQUIRED. Замечания и повторная проверка после исправлений NOT CONDUCTED / HUMAN ACTION REQUIRED. Реальная проверка другим студентом, без имитации self-review. Рисунок 6.</w:t>
      </w:r>
    </w:p>
    <w:p>
      <w:pPr>
        <w:pStyle w:val="af7"/>
      </w:pPr>
      <w:r>
        <w:t>5 Заключение и индивидуальный вклад</w:t>
      </w:r>
    </w:p>
    <w:p>
      <w:r>
        <w:t>По фактическим результатам описать реализованный контракт, интеграцию, подмену и границы вывода, соответствие карты, собственный ADR, независимую проверку. Неизменяемый тег 0104-pz02-ds-v1; доработка новым v2. Защита самостоятельно без генеративного AI.</w:t>
      </w:r>
    </w:p>
    <w:p>
      <w:pPr>
        <w:pStyle w:val="af7"/>
      </w:pPr>
      <w:r>
        <w:t>СПИСОК ИСПОЛЬЗОВАННЫХ МАТЕРИАЛОВ</w:t>
      </w:r>
    </w:p>
    <w:p>
      <w:r>
        <w:t>Актуальная методичка (точное имя и SHA-256 из реестра источников); канонические требования и архитектура HitPipe (ID, URL и revision); собственные PR, commit, CI и журналы; общие документы и авторы соответствующих частей. Указывать реально использованные версии, а не главную ветку без фиксации.</w:t>
      </w:r>
    </w:p>
    <w:p>
      <w:pPr>
        <w:pStyle w:val="af7"/>
      </w:pPr>
      <w:r>
        <w:t>ПРИЛОЖЕНИЕ. ИНСТРУКЦИИ ДЛЯ ОБЯЗАТЕЛЬНЫХ РИСУНКОВ</w:t>
      </w:r>
    </w:p>
    <w:p>
      <w:r>
        <w:t>Каждый слот заполнить реальным снимком вручную. Все агентские команды, URL, cwd, SHA, версии, ожидаемые признаки, имена PNG, подписи и правила сокрытия уже указаны в инструкции к конкретному рисунку. Слоты NOT CONDUCTED / HUMAN ACTION REQUIRED относятся только к личным учебным действиям или независимому human gate; их нельзя выдавать за PASS и нельзя заменять выдуманными данными.</w:t>
      </w:r>
    </w:p>
    <w:p>
      <w:pPr>
        <w:pStyle w:val="afa"/>
      </w:pPr>
      <w:r>
        <w:t>Рисунок 1 — Публичный контракт и существенная реализация</w:t>
      </w:r>
    </w:p>
    <w:p>
      <w:r>
        <w:t>[ВСТАВИТЬ РЕАЛЬНОЕ ИЗОБРАЖЕНИЕ ВРУЧНУЮ: 0104-pz02-01.png]</w:t>
      </w:r>
    </w:p>
    <w:p>
      <w:r>
        <w:t>Что открыть/выполнить: Открыть https://github.com/hitpipe/hitpipe/blob/bafc97a0eb5cc2b2aba68c04a74b179b61432d82/services/delivery/internal/domain/readback/readback.go#L1-L220 и services/delivery/docs/module-contract.md. Показать публичную операцию, часть собственной реализации и определённые вход/выход/ошибки; указать версию.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docs/labs/pr12/ds/evidence/screenshots/0104-pz02-01.png. Подпись: «Рисунок 1 — Публичный контракт и существенная реализация».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2 — Документация модуля по стандарту стека</w:t>
      </w:r>
    </w:p>
    <w:p>
      <w:r>
        <w:t>[ВСТАВИТЬ РЕАЛЬНОЕ ИЗОБРАЖЕНИЕ ВРУЧНУЮ: 0104-pz02-02.png]</w:t>
      </w:r>
    </w:p>
    <w:p>
      <w:r>
        <w:t>Что открыть/выполнить: Открыть services/delivery/docs/module-contract.md, полученную командой Get-Content services/delivery/docs/module-contract.md либо встроенные GoDoc/TSDoc/docstring. Показать назначение, входы, результат, ошибки, зависимости и пример использования; документация относится к bafc97a0eb5cc2b2aba68c04a74b179b61432d82.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docs/labs/pr12/ds/evidence/screenshots/0104-pz02-02.png. Подпись: «Рисунок 2 — Документация модуля по стандарту стека».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3 — Один потребитель и две подключаемые реализации</w:t>
      </w:r>
    </w:p>
    <w:p>
      <w:r>
        <w:t>[ВСТАВИТЬ РЕАЛЬНОЕ ИЗОБРАЖЕНИЕ ВРУЧНУЮ: 0104-pz02-03.png]</w:t>
      </w:r>
    </w:p>
    <w:p>
      <w:r>
        <w:t>Что открыть/выполнить: Открыть services/delivery/cmd/delivery-contractcheck/main.go и неизменённый services/delivery/internal/application/verifytarget/verifytarget.go. Выполнить CWD: services/delivery; go test ./internal/application/verifytarget -run TestVerifierUsesReaderAndPreservesProvenance -count=1 для одного сценария с реализациями file-backed TargetReader и fake TargetReader in tests. Показать точку сборки/DI, оба результата и доказательство неизменности потребителя; ограничения подмены указать в тексте.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docs/labs/pr12/ds/evidence/screenshots/0104-pz02-03.png. Подпись: «Рисунок 3 — Один потребитель и две подключаемые реализации».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4 — Модульная карта с легендой и статусами</w:t>
      </w:r>
    </w:p>
    <w:p>
      <w:r>
        <w:t>[ВСТАВИТЬ РЕАЛЬНОЕ ИЗОБРАЖЕНИЕ ВРУЧНУЮ: 0104-pz02-04.png]</w:t>
      </w:r>
    </w:p>
    <w:p>
      <w:r>
        <w:t>Что открыть/выполнить: Открыть docs/labs/pr12/ds/module-map.md на версии bafc97a0eb5cc2b2aba68c04a74b179b61432d82. Показать собственный модуль, ответственность, публичный контракт, зависимости, пути, автора, статусы «работает/план» и легенду направления стрелок. Карта должна соответствовать реальным импортам, а не будущей схеме.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docs/labs/pr12/ds/evidence/screenshots/0104-pz02-04.png. Подпись: «Рисунок 4 — Модульная карта с легендой и статусами».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5 — Проверки с обеими реализациями</w:t>
      </w:r>
    </w:p>
    <w:p>
      <w:r>
        <w:t>[ВСТАВИТЬ РЕАЛЬНОЕ ИЗОБРАЖЕНИЕ ВРУЧНУЮ: 0104-pz02-05.png]</w:t>
      </w:r>
    </w:p>
    <w:p>
      <w:r>
        <w:t>Что открыть/выполнить: Выполнить go test -race ./... на bafc97a0eb5cc2b2aba68c04a74b179b61432d82. Показать обе реализации, штатный, граничный и ошибочный случаи для каждой, ожидаемые/фактические результаты и итог/код завершения.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docs/labs/pr12/ds/evidence/screenshots/0104-pz02-05.png. Подпись: «Рисунок 5 — Проверки с обеими реализациями».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6 — Реальная взаимная проверка модуля другого студента</w:t>
      </w:r>
    </w:p>
    <w:p>
      <w:r>
        <w:t>[ВСТАВИТЬ РЕАЛЬНОЕ ИЗОБРАЖЕНИЕ ВРУЧНУЮ: 0104-pz02-06.png]</w:t>
      </w:r>
    </w:p>
    <w:p>
      <w:r>
        <w:t>Что открыть/выполнить: После независимой проверки открыть NOT CREATED — H1 и NOT RUN — H1. Показать имя проверяющего, дату, автора/название чужого модуля, commit, команды сборки, случаи контракта, подмену, сверку карты и замечания/повторный прогон. Агентский self-review не заменяет проверку другого студента.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docs/labs/pr12/ds/evidence/screenshots/0104-pz02-06.png. Подпись: «Рисунок 6 — Реальная взаимная проверка модуля другого студента». В основном тексте дать ссылку на этот рисунок рядом с фактическим результатом.</w:t>
      </w:r>
    </w:p>
    <w:p>
      <w:pPr>
        <w:pStyle w:val="1"/>
      </w:pPr>
      <w:r>
        <w:t>Фактическое дополнение к шаблону</w:t>
      </w:r>
    </w:p>
    <w:p>
      <w:r>
        <w:t>Этот раздел связывает заполненный шаблон с реально выполненными артефактами. Он не заменяет предусмотренные методичкой human actions.</w:t>
      </w:r>
    </w:p>
    <w:p>
      <w:r>
        <w:t>• Domain/application/adapter separation is documented in module-map.md and implementation-adr.md.</w:t>
      </w:r>
    </w:p>
    <w:p>
      <w:r>
        <w:t>• Race and named tests PASS on the correction source; evidence is linked to the correction PR and logs.</w:t>
      </w:r>
    </w:p>
    <w:p>
      <w:r>
        <w:t>• Peer module review: NOT CONDUCTED; no self-review presented as independent review.</w:t>
      </w:r>
    </w:p>
    <w:p>
      <w:pPr>
        <w:pStyle w:val="2"/>
      </w:pPr>
      <w:r>
        <w:t>Состояние рисунков</w:t>
      </w:r>
    </w:p>
    <w:p>
      <w:r>
        <w:t>Все рисунки остаются текстовыми placeholders. Агент не создавал и не генерировал PNG. Человек должен открыть указанный URL/каталог, выполнить указанную команду, сверить SHA/версию и только затем вставить PNG с указанным именем и подписью.</w:t>
      </w:r>
    </w:p>
    <w:sectPr w:rsidR="00D73871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871" w:rsidRDefault="00181D0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81D04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3871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553A2CB-E71A-4CC5-8FC7-744F6AC9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66BF-1F33-4EA8-9D5B-1A387B7A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838</Words>
  <Characters>5624</Characters>
  <Application>Microsoft Office Word</Application>
  <DocSecurity>0</DocSecurity>
  <Lines>175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отчёт. ПЗ №1. Формирование требований и регламента инженерного процесса проекта</dc:title>
  <dc:subject>МДК.03.02 «Обеспечение качества функционирования компьютерных систем»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2026-10-07T07:23:00Z</dcterms:modified>
</cp:coreProperties>
</file>