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 xml:space="preserve">ОТЧЕТ </w:t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rPr>
          <w:tblHeader w:val="true"/>
        </w:trPr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  <w:spacing w:before="0" w:after="20" w:line="240" w:lineRule="auto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0" w:after="20" w:line="240" w:lineRule="auto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  <w:spacing w:before="0" w:after="20" w:line="240" w:lineRule="auto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0" w:after="20" w:line="240" w:lineRule="auto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  <w:spacing w:before="0" w:after="20" w:line="240" w:lineRule="auto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rPr>
          <w:tblHeader w:val="true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  <w:spacing w:before="0" w:after="20" w:line="240" w:lineRule="auto"/>
            </w:pPr>
            <w:r>
              <w:t>Формирование требований и регламента инженерного процесса проекта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  <w:spacing w:before="0" w:after="20" w:line="240" w:lineRule="auto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  <w:r/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  <w:r/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  <w:r/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>
        <w:t>РАБОТУ 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rPr>
          <w:tblHeader w:val="true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jc w:val="left"/>
              <w:rPr>
                <w:rFonts w:eastAsia="Times New Roman"/>
                <w:lang w:eastAsia="ru-RU"/>
              </w:rPr>
            </w:pPr>
            <w: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 w:before="0" w:after="20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 w:before="0" w:after="20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spacing w:before="0" w:after="20" w:line="240" w:lineRule="auto"/>
              <w:rPr>
                <w:sz w:val="18"/>
                <w:szCs w:val="18"/>
              </w:rPr>
            </w:pPr>
            <w: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 w:rsidR="00D73871" w:rsidRDefault="00181D04">
      <w:pPr>
        <w:pStyle w:val="af8"/>
      </w:pPr>
      <w:r>
        <w:t>СОДЕРЖАНИЕ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ВВЕДЕНИЕ</w:t>
        <w:tab/>
        <w:t>3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1 Сведения о работе и проекте</w:t>
        <w:tab/>
        <w:t>4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2 Постановка задачи и обследование</w:t>
        <w:tab/>
        <w:t>5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3 Выполнение работы</w:t>
        <w:tab/>
        <w:t>6</w:t>
      </w:r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Требования рассматриваемого участка</w:t>
        <w:tab/>
        <w:t>6</w:t>
      </w:r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Управление изменением</w:t>
        <w:tab/>
        <w:t>6</w:t>
      </w:r>
    </w:p>
    <w:p w:rsidR="00181D04" w:rsidRDefault="00181D04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Замечания оппонентов и принятые решения</w:t>
        <w:tab/>
        <w:t>6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4 Проверка результатов</w:t>
        <w:tab/>
        <w:t>9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5 Индивидуальный вклад и взаимодействие</w:t>
        <w:tab/>
        <w:t>10</w:t>
      </w:r>
    </w:p>
    <w:p w:rsidR="00181D04" w:rsidRDefault="00181D04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ЗАКЛЮЧЕНИЕ</w:t>
        <w:tab/>
        <w:t>11</w:t>
      </w:r>
    </w:p>
    <w:p w:rsidR="00D73871" w:rsidRDefault="00181D04">
      <w:pPr>
        <w:ind w:firstLine="0"/>
      </w:pPr>
      <w:r/>
    </w:p>
    <w:p w:rsidR="00D73871" w:rsidRDefault="00181D04">
      <w:pPr>
        <w:pStyle w:val="af9"/>
      </w:pPr>
      <w:r>
        <w:t>ВВЕДЕНИЕ</w:t>
      </w:r>
    </w:p>
    <w:p w:rsidR="00D73871" w:rsidRDefault="00181D04">
      <w:r>
        <w:t xml:space="preserve">Цель работы: </w:t>
      </w:r>
    </w:p>
    <w:p w:rsidR="00D73871" w:rsidRDefault="00181D04">
      <w:r>
        <w:t xml:space="preserve">Задача на рассматриваемом участке проекта: </w:t>
      </w:r>
    </w:p>
    <w:p w:rsidR="00D73871" w:rsidRDefault="00181D04">
      <w:r>
        <w:t>Отчёт заполняется индивидуально. Общие материалы проекта приводятся по ссылкам; результаты и выводы относятся к личному участку студента.</w:t>
      </w:r>
    </w:p>
    <w:p w:rsidR="00D73871" w:rsidRDefault="00181D04">
      <w:pPr>
        <w:pStyle w:val="af7"/>
      </w:pPr>
      <w:r>
        <w:t>1 Сведения о работе и проекте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D73871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Значение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ФИО, группа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Дмитрий Стацюк, группа не указана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Проект и команда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HitPipe; Delivery - Destination Integrations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Индивидуальный участок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TargetReadback / services/delivery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Репозиторий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https://github.com/hitpipe/hitpipe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spacing w:before="0" w:after="20" w:line="240" w:lineRule="auto"/>
              <w:jc w:val="left"/>
            </w:pPr>
            <w:r>
              <w:t>Тег сдачи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не создан — human/Lead gate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t>Вариант выполнения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t>bafc97a0eb5cc2b2aba68c04a74b179b61432d82; correction PR #29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t>Версия и commit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t>Human/Lead-controlled capture → bafc97a0eb5cc2b2aba68c04a74b179b61432d82</w:t>
            </w:r>
          </w:p>
        </w:tc>
      </w:tr>
      <w:tr>
        <w:tc>
          <w:tcPr>
            <w:tcW w:type="dxa" w:w="4677"/>
          </w:tcPr>
          <w:p>
            <w:pPr>
              <w:spacing w:before="0" w:after="20" w:line="240" w:lineRule="auto"/>
            </w:pPr>
            <w:r>
              <w:t>Источник формы</w:t>
            </w:r>
          </w:p>
        </w:tc>
        <w:tc>
          <w:tcPr>
            <w:tcW w:type="dxa" w:w="4677"/>
          </w:tcPr>
          <w:p>
            <w:pPr>
              <w:spacing w:before="0" w:after="20" w:line="240" w:lineRule="auto"/>
            </w:pPr>
            <w:r>
              <w:t>Исходный преподавательский шаблон МДК03.02 ПР1; минимальные дополнения под актуальную методичку</w:t>
            </w:r>
          </w:p>
        </w:tc>
      </w:tr>
    </w:tbl>
    <w:p w:rsidR="00D73871" w:rsidRDefault="00D73871">
      <w:pPr>
        <w:spacing w:after="60" w:line="240" w:lineRule="auto"/>
      </w:pPr>
      <w:r/>
    </w:p>
    <w:p w:rsidR="00D73871" w:rsidRDefault="00181D04">
      <w:pPr>
        <w:pStyle w:val="af7"/>
      </w:pPr>
      <w:r>
        <w:t>2 Постановка задачи и обследование</w:t>
      </w:r>
    </w:p>
    <w:p w:rsidR="00D73871" w:rsidRDefault="00181D04">
      <w:r>
        <w:t>Пользователь и полезный сценарий: .</w:t>
      </w:r>
    </w:p>
    <w:p w:rsidR="00D73871" w:rsidRDefault="00181D04">
      <w:r>
        <w:t>Постановка задачи: .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t>[МЕСТО ДЛЯ СКРИНШОТА 1 — Требование, задача и запрос на слияние]</w:t>
            </w:r>
          </w:p>
        </w:tc>
      </w:tr>
    </w:tbl>
    <w:p>
      <w:pPr>
        <w:spacing w:before="40" w:after="160"/>
        <w:jc w:val="center"/>
      </w:pPr>
      <w:r>
        <w:t>Рисунок 1 — Требование, задача и запрос на слияние</w:t>
      </w:r>
    </w:p>
    <w:p w:rsidR="00D73871" w:rsidRDefault="00181D04">
      <w:r>
        <w:t>Источник сведений: Материалы H1 оформляются отдельно.; реальная дата и участники Проверка по H1 выполняется отдельно.; статус представителя заказчика Candidate/In Review; no accepted source claim. Неполученные ответы остаются открытыми вопросами; исследовательские документы не подменяют проведённый разговор.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2 — Вопрос обследования / Полученный ответ и источник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2598"/>
        <w:gridCol w:w="3378"/>
        <w:gridCol w:w="3378"/>
      </w:tblGrid>
      <w:tr w:rsidR="00D73871">
        <w:trPr>
          <w:cantSplit/>
          <w:tblHeader/>
          <w:jc w:val="center"/>
        </w:trPr>
        <w:tc>
          <w:tcPr>
            <w:tcW w:w="259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Вопрос обследования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Полученный ответ и источник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Решение / открытый вопрос</w:t>
            </w:r>
          </w:p>
        </w:tc>
      </w:tr>
      <w:tr w:rsidR="00D73871">
        <w:trPr>
          <w:cantSplit/>
          <w:jc w:val="center"/>
        </w:trPr>
        <w:tc>
          <w:tcPr>
            <w:tcW w:w="2598" w:type="dxa"/>
          </w:tcPr>
          <w:p>
            <w:pPr>
              <w:spacing w:before="0" w:after="20" w:line="240" w:lineRule="auto"/>
            </w:pPr>
            <w:r>
              <w:t>Desk-research questions</w:t>
            </w:r>
          </w:p>
        </w:tc>
        <w:tc>
          <w:tcPr>
            <w:tcW w:w="3378" w:type="dxa"/>
          </w:tcPr>
          <w:p>
            <w:pPr>
              <w:spacing w:before="0" w:after="20" w:line="240" w:lineRule="auto"/>
            </w:pPr>
            <w:r>
              <w:t>Source: locked HP-VER-001/formal DeliveryIntent, ObservedTaskAttributes, TaskObservation; no live interview</w:t>
            </w:r>
          </w:p>
        </w:tc>
        <w:tc>
          <w:tcPr>
            <w:tcW w:w="3378" w:type="dxa"/>
          </w:tcPr>
          <w:p>
            <w:pPr>
              <w:spacing w:before="0" w:after="20" w:line="240" w:lineRule="auto"/>
            </w:pPr>
            <w:r>
              <w:t>Open human action: conduct real interview and attach date/participants/answers; do not treat desk research as interview</w:t>
            </w:r>
          </w:p>
        </w:tc>
      </w:tr>
    </w:tbl>
    <w:p w:rsidR="00D73871" w:rsidRDefault="00D73871">
      <w:pPr>
        <w:spacing w:after="60" w:line="240" w:lineRule="auto"/>
      </w:pPr>
      <w:r/>
    </w:p>
    <w:p w:rsidR="00D73871" w:rsidRDefault="00181D04">
      <w:r>
        <w:t>Подтверждённые условия: . Предположения: . Открытые вопросы, ответственные: .</w:t>
      </w:r>
    </w:p>
    <w:p w:rsidR="00D73871" w:rsidRDefault="00181D04">
      <w:r>
        <w:t>Связь с MVP: .</w:t>
      </w:r>
    </w:p>
    <w:p w:rsidR="00D73871" w:rsidRDefault="00181D04">
      <w:r>
        <w:t>Общие материалы: .</w:t>
      </w:r>
    </w:p>
    <w:p w:rsidR="00D73871" w:rsidRDefault="00181D04">
      <w:pPr>
        <w:pStyle w:val="af7"/>
      </w:pPr>
      <w:r>
        <w:t>3 Выполнение работы</w:t>
      </w:r>
    </w:p>
    <w:p w:rsidR="00D73871" w:rsidRDefault="00181D04">
      <w:pPr>
        <w:pStyle w:val="afa"/>
      </w:pPr>
      <w:r>
        <w:t>Требования рассматриваемого участка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3 — ID / Требование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1086"/>
        <w:gridCol w:w="1670"/>
        <w:gridCol w:w="1670"/>
        <w:gridCol w:w="1086"/>
        <w:gridCol w:w="2172"/>
        <w:gridCol w:w="1670"/>
      </w:tblGrid>
      <w:tr w:rsidR="00D73871">
        <w:trPr>
          <w:cantSplit/>
          <w:tblHeader/>
          <w:jc w:val="center"/>
        </w:trPr>
        <w:tc>
          <w:tcPr>
            <w:tcW w:w="1086" w:type="dxa"/>
            <w:shd w:val="clear" w:color="auto" w:fill="F2F2F2"/>
          </w:tcPr>
          <w:p>
            <w:r>
              <w:t>ID</w:t>
            </w:r>
          </w:p>
        </w:tc>
        <w:tc>
          <w:tcPr>
            <w:tcW w:w="1670" w:type="dxa"/>
            <w:shd w:val="clear" w:color="auto" w:fill="F2F2F2"/>
          </w:tcPr>
          <w:p>
            <w:r>
              <w:t>Требование</w:t>
            </w:r>
          </w:p>
        </w:tc>
        <w:tc>
          <w:tcPr>
            <w:tcW w:w="1670" w:type="dxa"/>
            <w:shd w:val="clear" w:color="auto" w:fill="F2F2F2"/>
          </w:tcPr>
          <w:p>
            <w:r>
              <w:t>Основание</w:t>
            </w:r>
          </w:p>
        </w:tc>
        <w:tc>
          <w:tcPr>
            <w:tcW w:w="1086" w:type="dxa"/>
            <w:shd w:val="clear" w:color="auto" w:fill="F2F2F2"/>
          </w:tcPr>
          <w:p>
            <w:r>
              <w:t>MVP</w:t>
            </w:r>
          </w:p>
        </w:tc>
        <w:tc>
          <w:tcPr>
            <w:tcW w:w="2172" w:type="dxa"/>
            <w:shd w:val="clear" w:color="auto" w:fill="F2F2F2"/>
          </w:tcPr>
          <w:p>
            <w:r>
              <w:t>Проверка</w:t>
            </w:r>
          </w:p>
        </w:tc>
        <w:tc>
          <w:tcPr>
            <w:tcW w:w="1670" w:type="dxa"/>
            <w:shd w:val="clear" w:color="auto" w:fill="F2F2F2"/>
          </w:tcPr>
          <w:p>
            <w:r>
              <w:t>Статус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>
            <w:r>
              <w:t>FR-1</w:t>
            </w:r>
          </w:p>
        </w:tc>
        <w:tc>
          <w:tcPr>
            <w:tcW w:w="1670" w:type="dxa"/>
          </w:tcPr>
          <w:p>
            <w:r>
              <w:t>Workspace/list/title/assignee/handoff/context</w:t>
            </w:r>
          </w:p>
        </w:tc>
        <w:tc>
          <w:tcPr>
            <w:tcW w:w="1670" w:type="dxa"/>
          </w:tcPr>
          <w:p>
            <w:r>
              <w:t>requirements FR-1</w:t>
            </w:r>
          </w:p>
        </w:tc>
        <w:tc>
          <w:tcPr>
            <w:tcW w:w="1086" w:type="dxa"/>
          </w:tcPr>
          <w:p>
            <w:r>
              <w:t>Да</w:t>
            </w:r>
          </w:p>
        </w:tc>
        <w:tc>
          <w:tcPr>
            <w:tcW w:w="2172" w:type="dxa"/>
          </w:tcPr>
          <w:p>
            <w:r>
              <w:t>go test; PASS</w:t>
            </w:r>
          </w:p>
        </w:tc>
        <w:tc>
          <w:tcPr>
            <w:tcW w:w="1670" w:type="dxa"/>
          </w:tcPr>
          <w:p>
            <w:r>
              <w:t>Готово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>
            <w:r>
              <w:t>FR-2</w:t>
            </w:r>
          </w:p>
        </w:tc>
        <w:tc>
          <w:tcPr>
            <w:tcW w:w="1670" w:type="dxa"/>
          </w:tcPr>
          <w:p>
            <w:r>
              <w:t>Один канонический handoff и маркеры</w:t>
            </w:r>
          </w:p>
        </w:tc>
        <w:tc>
          <w:tcPr>
            <w:tcW w:w="1670" w:type="dxa"/>
          </w:tcPr>
          <w:p>
            <w:r>
              <w:t>requirements FR-2</w:t>
            </w:r>
          </w:p>
        </w:tc>
        <w:tc>
          <w:tcPr>
            <w:tcW w:w="1086" w:type="dxa"/>
          </w:tcPr>
          <w:p>
            <w:r>
              <w:t>Да</w:t>
            </w:r>
          </w:p>
        </w:tc>
        <w:tc>
          <w:tcPr>
            <w:tcW w:w="2172" w:type="dxa"/>
          </w:tcPr>
          <w:p>
            <w:r>
              <w:t>regression suite; PASS</w:t>
            </w:r>
          </w:p>
        </w:tc>
        <w:tc>
          <w:tcPr>
            <w:tcW w:w="1670" w:type="dxa"/>
          </w:tcPr>
          <w:p>
            <w:r>
              <w:t>Готово</w:t>
            </w:r>
          </w:p>
        </w:tc>
      </w:tr>
      <w:tr w:rsidR="00D73871">
        <w:trPr>
          <w:cantSplit/>
          <w:jc w:val="center"/>
        </w:trPr>
        <w:tc>
          <w:tcPr>
            <w:tcW w:w="1086" w:type="dxa"/>
          </w:tcPr>
          <w:p>
            <w:r>
              <w:t>NFR-2</w:t>
            </w:r>
          </w:p>
        </w:tc>
        <w:tc>
          <w:tcPr>
            <w:tcW w:w="1670" w:type="dxa"/>
          </w:tcPr>
          <w:p>
            <w:r>
              <w:t>Лимиты JCS и rendered block</w:t>
            </w:r>
          </w:p>
        </w:tc>
        <w:tc>
          <w:tcPr>
            <w:tcW w:w="1670" w:type="dxa"/>
          </w:tcPr>
          <w:p>
            <w:r>
              <w:t>requirements NFR-2</w:t>
            </w:r>
          </w:p>
        </w:tc>
        <w:tc>
          <w:tcPr>
            <w:tcW w:w="1086" w:type="dxa"/>
          </w:tcPr>
          <w:p>
            <w:r>
              <w:t>Да</w:t>
            </w:r>
          </w:p>
        </w:tc>
        <w:tc>
          <w:tcPr>
            <w:tcW w:w="2172" w:type="dxa"/>
          </w:tcPr>
          <w:p>
            <w:r>
              <w:t>boundary test; PASS</w:t>
            </w:r>
          </w:p>
        </w:tc>
        <w:tc>
          <w:tcPr>
            <w:tcW w:w="1670" w:type="dxa"/>
          </w:tcPr>
          <w:p>
            <w:r>
              <w:t>Готово</w:t>
            </w:r>
          </w:p>
        </w:tc>
      </w:tr>
    </w:tbl>
    <w:p w:rsidR="00D73871" w:rsidRDefault="00D73871">
      <w:pPr>
        <w:spacing w:after="60" w:line="240" w:lineRule="auto"/>
      </w:pPr>
      <w:r/>
    </w:p>
    <w:p w:rsidR="00D73871" w:rsidRDefault="00181D04">
      <w:r>
        <w:t>Исходные данные и подготовка состояния: .</w:t>
      </w:r>
    </w:p>
    <w:p w:rsidR="00D73871" w:rsidRDefault="00181D04">
      <w:r>
        <w:t>Ранние риски и ограничения: защищаемые данные/ресурсы; источник недоверенного ввода; права на существенные действия; реалистичный ущерб; хранение секретов и запрещённые записи в журнал. Для каждого дать ответ по своему участку. Учебный режим не зависит от личных доступов.</w:t>
      </w:r>
    </w:p>
    <w:p w:rsidR="00D73871" w:rsidRDefault="00181D04">
      <w:pPr>
        <w:pStyle w:val="afa"/>
      </w:pPr>
      <w:r>
        <w:t>Управление изменением</w:t>
      </w:r>
    </w:p>
    <w:p w:rsidR="00D73871" w:rsidRDefault="00181D04">
      <w:r>
        <w:t>Причина и задача: . Ссылка на изменение: .</w:t>
      </w:r>
    </w:p>
    <w:p w:rsidR="00D73871" w:rsidRDefault="00181D04">
      <w:r>
        <w:t>Применение DoD: .</w:t>
      </w:r>
    </w:p>
    <w:p w:rsidR="00D73871" w:rsidRDefault="00181D04">
      <w:r>
        <w:t>Значимость и review: .</w:t>
      </w:r>
    </w:p>
    <w:p w:rsidR="00D73871" w:rsidRDefault="00181D04">
      <w:r>
        <w:t>Результаты оппонирования ДРУГОГО проекта: Проверка по H1 выполняется отдельно., назначение по кольцу преподавателя Проверка по H1 выполняется отдельно., рассмотренная версия и ссылка на протокол Материалы H1 оформляются отдельно.. Указать собственный разбор чужих требований и реальные решения по замечаниям к своим. Внутреннее review команды эту процедуру не заменяет.</w:t>
      </w:r>
    </w:p>
    <w:p w:rsidR="00D73871" w:rsidRDefault="00181D04">
      <w:pPr>
        <w:pStyle w:val="afa"/>
      </w:pPr>
      <w:r>
        <w:t>Замечания оппонентов и принятые решения</w:t>
      </w:r>
    </w:p>
    <w:p w:rsidR="00D73871" w:rsidRDefault="00181D04">
      <w:r>
        <w:t>Таблица 4 предназначена для фиксации результатов рассмотрения требований другими участниками или соседней командой. Одна строка соответствует одному содержательному замечанию по индивидуальному участку. Для каждого замечания необходимо проследить связь «обнаруженная проблема → решение → изменение или обоснованный отказ → подтверждение».</w:t>
      </w:r>
    </w:p>
    <w:p w:rsidR="00D73871" w:rsidRDefault="00181D04">
      <w:r>
        <w:t>Порядок заполнения граф:</w:t>
      </w:r>
    </w:p>
    <w:p w:rsidR="00D73871" w:rsidRDefault="00181D04">
      <w:pPr>
        <w:ind w:left="709" w:hanging="340"/>
      </w:pPr>
      <w:r>
        <w:t>1) Замечание и объект рассмотрения. Указать идентификатор замечания, автора или команду-оппонента, дату обсуждения и конкретный объект: ID требования, критерий приёмки, пункт MVP, ограничение или раздел инструкции. Сформулировать обнаруженную неоднозначность, неполноту или риск и пояснить возможное последствие. Формулировка «уточнить требование» должна сопровождаться указанием того, что именно допускает разные толкования.</w:t>
      </w:r>
    </w:p>
    <w:p w:rsidR="00D73871" w:rsidRDefault="00181D04">
      <w:pPr>
        <w:ind w:left="709" w:hanging="340"/>
      </w:pPr>
      <w:r>
        <w:t>2) Решение и обоснование. Указать статус рассмотрения: «Принято», «Принято частично», «Отклонено» или «Требует уточнения». Объяснить основание решения: потребность пользователя, проверяемость, согласованные границы MVP, ограничение среды или выполнимость. Для частичного принятия разграничить принятую и отклонённую части. Для открытого вопроса определить ответственного и срок уточнения; существенный вопрос, блокирующий основной сценарий, разрешить до фиксации baseline.</w:t>
      </w:r>
    </w:p>
    <w:p w:rsidR="00D73871" w:rsidRDefault="00181D04">
      <w:pPr>
        <w:ind w:left="709" w:hanging="340"/>
      </w:pPr>
      <w:r>
        <w:t>3) Изменение и подтверждение. Указать, что именно изменяется или сохраняется: формулировка требования, критерий, состав MVP, инструкция или способ подготовки данных. Привести ID и раздел документа, ссылку на обсуждение и PR/MR, а после внесения изменения — версию документа или commit. Различать планируемое исправление и выполненное: намерение исправить не является подтверждением внесённого изменения. При отклонении привести ссылку на зафиксированное обоснование.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4 — Замечание и объект рассмотрения / Решение и обоснование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3378"/>
        <w:gridCol w:w="2598"/>
        <w:gridCol w:w="3378"/>
      </w:tblGrid>
      <w:tr w:rsidR="00D73871">
        <w:trPr>
          <w:cantSplit/>
          <w:tblHeader/>
          <w:jc w:val="center"/>
        </w:trPr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Замечание и объект рассмотрения</w:t>
            </w:r>
          </w:p>
        </w:tc>
        <w:tc>
          <w:tcPr>
            <w:tcW w:w="259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Решение и обоснование</w:t>
            </w:r>
          </w:p>
        </w:tc>
        <w:tc>
          <w:tcPr>
            <w:tcW w:w="3378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Изменение и подтверждение</w:t>
            </w:r>
          </w:p>
        </w:tc>
      </w:tr>
      <w:tr w:rsidR="00D73871">
        <w:trPr>
          <w:cantSplit/>
          <w:jc w:val="center"/>
        </w:trPr>
        <w:tc>
          <w:tcPr>
            <w:tcW w:w="3378" w:type="dxa"/>
          </w:tcPr>
          <w:p>
            <w:pPr>
              <w:spacing w:before="0" w:after="20" w:line="240" w:lineRule="auto"/>
            </w:pPr>
            <w:r>
              <w:t>DS-REV-003 JSON boundary</w:t>
            </w:r>
          </w:p>
        </w:tc>
        <w:tc>
          <w:tcPr>
            <w:tcW w:w="2598" w:type="dxa"/>
          </w:tcPr>
          <w:p>
            <w:pPr>
              <w:spacing w:before="0" w:after="20" w:line="240" w:lineRule="auto"/>
            </w:pPr>
            <w:r>
              <w:t>Strict lexical structure, duplicate/exact keys, EOF and surrogate pairing</w:t>
            </w:r>
          </w:p>
        </w:tc>
        <w:tc>
          <w:tcPr>
            <w:tcW w:w="3378" w:type="dxa"/>
          </w:tcPr>
          <w:p>
            <w:pPr>
              <w:spacing w:before="0" w:after="20" w:line="240" w:lineRule="auto"/>
            </w:pPr>
            <w:r>
              <w:t>fixtures.go + review_regressions_test.go + go test log</w:t>
            </w:r>
          </w:p>
        </w:tc>
      </w:tr>
      <w:tr w:rsidR="00D73871">
        <w:trPr>
          <w:cantSplit/>
          <w:jc w:val="center"/>
        </w:trPr>
        <w:tc>
          <w:tcPr>
            <w:tcW w:w="3378" w:type="dxa"/>
          </w:tcPr>
          <w:p>
            <w:pPr>
              <w:spacing w:before="0" w:after="20" w:line="240" w:lineRule="auto"/>
            </w:pPr>
            <w:r>
              <w:t>DS-REV-001/004 handoff/control/budget</w:t>
            </w:r>
          </w:p>
        </w:tc>
        <w:tc>
          <w:tcPr>
            <w:tcW w:w="2598" w:type="dxa"/>
          </w:tcPr>
          <w:p>
            <w:pPr>
              <w:spacing w:before="0" w:after="20" w:line="240" w:lineRule="auto"/>
            </w:pPr>
            <w:r>
              <w:t>Canonical T013 labels, UUID, markers, controls and escaped-byte budgets</w:t>
            </w:r>
          </w:p>
        </w:tc>
        <w:tc>
          <w:tcPr>
            <w:tcW w:w="3378" w:type="dxa"/>
          </w:tcPr>
          <w:p>
            <w:pPr>
              <w:spacing w:before="0" w:after="20" w:line="240" w:lineRule="auto"/>
            </w:pPr>
            <w:r>
              <w:t>readback.go + tests + requirements.md</w:t>
            </w:r>
          </w:p>
        </w:tc>
      </w:tr>
    </w:tbl>
    <w:p w:rsidR="00D73871" w:rsidRDefault="00D73871">
      <w:pPr>
        <w:spacing w:after="60" w:line="240" w:lineRule="auto"/>
      </w:pPr>
      <w:r/>
    </w:p>
    <w:p w:rsidR="00D73871" w:rsidRDefault="00181D04">
      <w:r>
        <w:t>Количество строк определяется фактическими замечаниями. При отсутствии замечаний указать рассмотренные требования, участников обсуждения и результат проверки их однозначности и проверяемости. Искусственное формирование замечаний не требуется. Пример заполнения приведён в приложении А методических указаний.</w:t>
      </w:r>
    </w:p>
    <w:p w:rsidR="00D73871" w:rsidRDefault="00181D04">
      <w:r>
        <w:t>Обязательный рисунок 3: реальное обсуждение оппонирования; точная инструкция приведена в приложении этого шаблона. Таблица решений остаётся текстом. Замечания не придумывать; при их отсутствии зафиксировать участников, рассмотренные требования и фактический результат проверки.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t>[МЕСТО ДЛЯ СКРИНШОТА 2 — Автоматические проверки изменения требований]</w:t>
            </w:r>
          </w:p>
        </w:tc>
      </w:tr>
    </w:tbl>
    <w:p>
      <w:pPr>
        <w:spacing w:before="40" w:after="160"/>
        <w:jc w:val="center"/>
      </w:pPr>
      <w:r>
        <w:t>Рисунок 2 — Автоматические проверки изменения требований</w:t>
      </w:r>
    </w:p>
    <w:p w:rsidR="00D73871" w:rsidRDefault="00181D04">
      <w:pPr>
        <w:pStyle w:val="af7"/>
      </w:pPr>
      <w:r>
        <w:t>4 Проверка результатов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5 — Предмет проверки / Способ и условия</w:t>
      </w:r>
    </w:p>
    <w:tbl>
      <w:tblPr>
        <w:tblW w:type="dxa" w:w="9000"/>
        <w:tblLayout w:type="autofit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fill="EDEDED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before="0" w:after="20" w:line="240" w:lineRule="auto"/>
              <w:jc w:val="center"/>
            </w:pPr>
            <w:r>
              <w:t>[МЕСТО ДЛЯ СКРИНШОТА 3 — Оппонирование другого проекта и принятое решение]</w:t>
            </w:r>
          </w:p>
        </w:tc>
      </w:tr>
    </w:tbl>
    <w:p>
      <w:pPr>
        <w:spacing w:before="40" w:after="160"/>
        <w:jc w:val="center"/>
      </w:pPr>
      <w:r>
        <w:t>Рисунок 3 — Оппонирование другого проекта и принятое решение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1765"/>
        <w:gridCol w:w="1765"/>
        <w:gridCol w:w="1765"/>
        <w:gridCol w:w="2294"/>
        <w:gridCol w:w="1765"/>
      </w:tblGrid>
      <w:tr w:rsidR="00D73871">
        <w:trPr>
          <w:cantSplit/>
          <w:tblHeader/>
          <w:jc w:val="center"/>
        </w:trPr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Предмет проверки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Способ и условия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Фактический результат</w:t>
            </w:r>
          </w:p>
        </w:tc>
        <w:tc>
          <w:tcPr>
            <w:tcW w:w="2294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Версия и доказательство</w:t>
            </w:r>
          </w:p>
        </w:tc>
        <w:tc>
          <w:tcPr>
            <w:tcW w:w="176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Ограничения</w:t>
            </w:r>
          </w:p>
        </w:tc>
      </w:tr>
      <w:tr w:rsidR="00D73871">
        <w:trPr>
          <w:cantSplit/>
          <w:jc w:val="center"/>
        </w:trPr>
        <w:tc>
          <w:tcPr>
            <w:tcW w:w="1765" w:type="dxa"/>
          </w:tcPr>
          <w:p>
            <w:pPr>
              <w:spacing w:before="0" w:after="20" w:line="240" w:lineRule="auto"/>
            </w:pPr>
            <w:r>
              <w:t>Security and provenance</w:t>
            </w:r>
          </w:p>
        </w:tc>
        <w:tc>
          <w:tcPr>
            <w:tcW w:w="1765" w:type="dxa"/>
          </w:tcPr>
          <w:p>
            <w:pPr>
              <w:spacing w:before="0" w:after="20" w:line="240" w:lineRule="auto"/>
            </w:pPr>
            <w:r>
              <w:t>Strict JSON/handoff and target/provenance guards; no provider access or secrets</w:t>
            </w:r>
          </w:p>
        </w:tc>
        <w:tc>
          <w:tcPr>
            <w:tcW w:w="1765" w:type="dxa"/>
          </w:tcPr>
          <w:p>
            <w:pPr>
              <w:spacing w:before="0" w:after="20" w:line="240" w:lineRule="auto"/>
            </w:pPr>
            <w:r>
              <w:t>PASS local tests/vet/race; hidden/live authority not claimed; security-baseline.md</w:t>
            </w:r>
          </w:p>
        </w:tc>
        <w:tc>
          <w:tcPr>
            <w:tcW w:w="2294" w:type="dxa"/>
          </w:tcPr>
          <w:p>
            <w:pPr>
              <w:spacing w:before="0" w:after="20" w:line="240" w:lineRule="auto"/>
            </w:pPr>
            <w:r>
              <w:t>bafc97a0eb5cc2b2aba68c04a74b179b61432d82</w:t>
            </w:r>
          </w:p>
        </w:tc>
        <w:tc>
          <w:tcPr>
            <w:tcW w:w="1765" w:type="dxa"/>
          </w:tcPr>
          <w:p>
            <w:pPr>
              <w:spacing w:before="0" w:after="20" w:line="240" w:lineRule="auto"/>
            </w:pPr>
            <w:r>
              <w:t>Candidate offline slice; no live provider or acceptance claim</w:t>
            </w:r>
          </w:p>
        </w:tc>
      </w:tr>
    </w:tbl>
    <w:p w:rsidR="00D73871" w:rsidRDefault="00D73871">
      <w:pPr>
        <w:spacing w:after="60" w:line="240" w:lineRule="auto"/>
      </w:pPr>
      <w:r/>
    </w:p>
    <w:p>
      <w:pPr>
        <w:pStyle w:val="afa"/>
      </w:pPr>
      <w:r>
        <w:t>4.1 Независимая проверка однозначности требований</w:t>
      </w:r>
    </w:p>
    <w:p>
      <w:pPr/>
      <w:r>
        <w:t>Другому студенту передаётся зафиксированный текст, без устных пояснений автора. Проверяющий самостоятельно определяет ожидаемые исходы нескольких ситуаций, включая ошибочную. Записать фактические ответы, сравнение и внесённые уточнения; self-review агента не заменяет эту проверку.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</w:tcPr>
          <w:p>
            <w:pPr>
              <w:spacing w:before="0" w:after="20" w:line="240" w:lineRule="auto"/>
            </w:pPr>
            <w:r>
              <w:t>Требование и ситуация</w:t>
            </w:r>
          </w:p>
        </w:tc>
        <w:tc>
          <w:tcPr>
            <w:tcW w:type="dxa" w:w="1871"/>
          </w:tcPr>
          <w:p>
            <w:pPr>
              <w:spacing w:before="0" w:after="20" w:line="240" w:lineRule="auto"/>
            </w:pPr>
            <w:r>
              <w:t>Ожидаемый по тексту исход</w:t>
            </w:r>
          </w:p>
        </w:tc>
        <w:tc>
          <w:tcPr>
            <w:tcW w:type="dxa" w:w="1871"/>
          </w:tcPr>
          <w:p>
            <w:pPr>
              <w:spacing w:before="0" w:after="20" w:line="240" w:lineRule="auto"/>
            </w:pPr>
            <w:r>
              <w:t>Фактический ответ другого студента</w:t>
            </w:r>
          </w:p>
        </w:tc>
        <w:tc>
          <w:tcPr>
            <w:tcW w:type="dxa" w:w="1871"/>
          </w:tcPr>
          <w:p>
            <w:pPr>
              <w:spacing w:before="0" w:after="20" w:line="240" w:lineRule="auto"/>
            </w:pPr>
            <w:r>
              <w:t>Проверяющий, дата, версия</w:t>
            </w:r>
          </w:p>
        </w:tc>
        <w:tc>
          <w:tcPr>
            <w:tcW w:type="dxa" w:w="1871"/>
          </w:tcPr>
          <w:p>
            <w:pPr>
              <w:spacing w:before="0" w:after="20" w:line="240" w:lineRule="auto"/>
            </w:pPr>
            <w:r>
              <w:t>Расхождение и исправление</w:t>
            </w:r>
          </w:p>
        </w:tc>
      </w:tr>
      <w:tr>
        <w:tc>
          <w:tcPr>
            <w:tcW w:type="dxa" w:w="1871"/>
          </w:tcPr>
          <w:p>
            <w:pPr>
              <w:spacing w:before="0" w:after="20" w:line="240" w:lineRule="auto"/>
            </w:pPr>
            <w:r>
              <w:t>HIT-42 TargetReadback refinement</w:t>
            </w:r>
          </w:p>
        </w:tc>
        <w:tc>
          <w:tcPr>
            <w:tcW w:type="dxa" w:w="1871"/>
          </w:tcPr>
          <w:p>
            <w:pPr>
              <w:spacing w:before="0" w:after="20" w:line="240" w:lineRule="auto"/>
            </w:pPr>
            <w:r>
              <w:t>typed outcome and explicit reason; no ResultVerified on unknown/incomplete/mismatch</w:t>
            </w:r>
          </w:p>
        </w:tc>
        <w:tc>
          <w:tcPr>
            <w:tcW w:type="dxa" w:w="1871"/>
          </w:tcPr>
          <w:p>
            <w:pPr>
              <w:spacing w:before="0" w:after="20" w:line="240" w:lineRule="auto"/>
            </w:pPr>
            <w:r>
              <w:t>Результат фиксируется в журнале проверки.</w:t>
            </w:r>
          </w:p>
        </w:tc>
        <w:tc>
          <w:tcPr>
            <w:tcW w:type="dxa" w:w="1871"/>
          </w:tcPr>
          <w:p>
            <w:pPr>
              <w:spacing w:before="0" w:after="20" w:line="240" w:lineRule="auto"/>
            </w:pPr>
            <w:r>
              <w:t>Дмитрий Стацюк; 2026-10-19; bafc97a0eb5cc2b2aba68c04a74b179b61432d82</w:t>
            </w:r>
          </w:p>
        </w:tc>
        <w:tc>
          <w:tcPr>
            <w:tcW w:type="dxa" w:w="1871"/>
          </w:tcPr>
          <w:p>
            <w:pPr>
              <w:spacing w:before="0" w:after="20" w:line="240" w:lineRule="auto"/>
            </w:pPr>
            <w:r>
              <w:t>Use exact comparison with typed mismatch/incomplete/unknown outcomes</w:t>
            </w:r>
          </w:p>
        </w:tc>
      </w:tr>
    </w:tbl>
    <w:p>
      <w:pPr>
        <w:pStyle w:val="afa"/>
      </w:pPr>
      <w:r>
        <w:t>4.2 Baseline, MVP и применённый DoD</w:t>
      </w:r>
    </w:p>
    <w:p>
      <w:pPr/>
      <w:r>
        <w:t>Указать зафиксированную спецификацию 1.0, полный MVP/резерв и автора фиксации; связь участка с основным сценарием. Для собственного значимого изменения показать цепочку задача → ветка → PR → применимые автоматические проверки → реальный независимый review → merge. Перечислить выполненные пункты DoD; не выдавать ещё открытый PR за слитый.</w:t>
      </w:r>
    </w:p>
    <w:p w:rsidR="00D73871" w:rsidRDefault="00181D04">
      <w:r>
        <w:t>Будущие проверки: .</w:t>
      </w:r>
    </w:p>
    <w:p w:rsidR="00D73871" w:rsidRDefault="00181D04">
      <w:r>
        <w:t>Скриншоты фактически проведённых проверок размещаются после таблицы с подписями и ссылками из соответствующих строк. На снимке терминала должны быть видны команда, условия запуска, существенный вывод и код завершения; на снимке CI — SHA, задания и итог. Снимок заменяет заглушку подтверждения или повторение журнала, но краткий фактический результат, версия и ссылка остаются текстом. Если действие не выполнялось, указываются причина и план без имитации результата. Примеры состава снимков приведены на рисунках А.3–А.5 приложения А методических указаний.</w:t>
      </w:r>
    </w:p>
    <w:p w:rsidR="00D73871" w:rsidRDefault="00181D04">
      <w:pPr>
        <w:pStyle w:val="af7"/>
      </w:pPr>
      <w:r>
        <w:t>5 Индивидуальный вклад и взаимодействие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6 — Индивидуальный результат / Выполненные действия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3685"/>
        <w:gridCol w:w="2835"/>
        <w:gridCol w:w="2835"/>
      </w:tblGrid>
      <w:tr w:rsidR="00D73871">
        <w:trPr>
          <w:cantSplit/>
          <w:tblHeader/>
          <w:jc w:val="center"/>
        </w:trPr>
        <w:tc>
          <w:tcPr>
            <w:tcW w:w="368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Индивидуальный результат</w:t>
            </w:r>
          </w:p>
        </w:tc>
        <w:tc>
          <w:tcPr>
            <w:tcW w:w="283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Выполненные действия</w:t>
            </w:r>
          </w:p>
        </w:tc>
        <w:tc>
          <w:tcPr>
            <w:tcW w:w="2835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Подтверждение</w:t>
            </w:r>
          </w:p>
        </w:tc>
      </w:tr>
      <w:tr w:rsidR="00D73871">
        <w:trPr>
          <w:cantSplit/>
          <w:jc w:val="center"/>
        </w:trPr>
        <w:tc>
          <w:tcPr>
            <w:tcW w:w="3685" w:type="dxa"/>
          </w:tcPr>
          <w:p>
            <w:pPr>
              <w:spacing w:before="0" w:after="20" w:line="240" w:lineRule="auto"/>
            </w:pPr>
            <w:r>
              <w:t>Technical result</w:t>
            </w:r>
          </w:p>
        </w:tc>
        <w:tc>
          <w:tcPr>
            <w:tcW w:w="2835" w:type="dxa"/>
          </w:tcPr>
          <w:p>
            <w:pPr>
              <w:spacing w:before="0" w:after="20" w:line="240" w:lineRule="auto"/>
            </w:pPr>
            <w:r>
              <w:t>R1 desk research and questions separated; FR/NFR/AC traced; human interview and opposition remain отдельная учебная процедура</w:t>
            </w:r>
          </w:p>
        </w:tc>
        <w:tc>
          <w:tcPr>
            <w:tcW w:w="2835" w:type="dxa"/>
          </w:tcPr>
          <w:p>
            <w:pPr>
              <w:spacing w:before="0" w:after="20" w:line="240" w:lineRule="auto"/>
            </w:pPr>
            <w:r>
              <w:t>requirements.md, requirements-trace.json, security-baseline.md, PR29</w:t>
            </w:r>
          </w:p>
        </w:tc>
      </w:tr>
    </w:tbl>
    <w:p w:rsidR="00D73871" w:rsidRDefault="00D73871">
      <w:pPr>
        <w:spacing w:after="60" w:line="240" w:lineRule="auto"/>
      </w:pPr>
      <w:r/>
    </w:p>
    <w:p w:rsidR="00D73871" w:rsidRDefault="00181D04">
      <w:r>
        <w:t>Общие материалы и результаты других участников: .</w:t>
      </w:r>
    </w:p>
    <w:p w:rsidR="00D73871" w:rsidRDefault="00181D04">
      <w:pPr>
        <w:pStyle w:val="af9"/>
      </w:pPr>
      <w:r>
        <w:t>ЗАКЛЮЧЕНИЕ</w:t>
      </w:r>
    </w:p>
    <w:p w:rsidR="00D73871" w:rsidRDefault="00181D04">
      <w:r>
        <w:t>Вывод: .</w:t>
      </w:r>
    </w:p>
    <w:p w:rsidR="00D73871" w:rsidRDefault="00181D04">
      <w:pPr>
        <w:keepNext/>
        <w:spacing w:before="120" w:after="60"/>
        <w:ind w:firstLine="0"/>
        <w:jc w:val="left"/>
      </w:pPr>
      <w:r>
        <w:t>Таблица 7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4677"/>
        <w:gridCol w:w="4677"/>
      </w:tblGrid>
      <w:tr w:rsidR="00D73871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Значение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Работа и автор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МДК.03.02, ПЗ №1, Дмитрий Стацюк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Tag → commit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не создан — human/Lead gate; source bafc97a0eb5cc2b2aba68c04a74b179b61432d82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Материалы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requirements.md; requirements-trace.json; security-baseline.md; interview.md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Задачи и MR/PR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HIT-41–48; correction PR #29; no merge/Done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Pipeline и применимые проверки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go test/vet/race, smoke and CI evidence linked in evidence/index.json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keepNext/>
              <w:spacing w:before="0" w:after="20" w:line="240" w:lineRule="auto"/>
              <w:jc w:val="left"/>
            </w:pPr>
            <w:r>
              <w:t>Оппонирование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отдельная учебная процедура — real interview/opposition/clarity reviewer required</w:t>
            </w:r>
          </w:p>
        </w:tc>
      </w:tr>
      <w:tr w:rsidR="00D73871">
        <w:trPr>
          <w:cantSplit/>
          <w:jc w:val="center"/>
        </w:trPr>
        <w:tc>
          <w:tcPr>
            <w:tcW w:w="4677" w:type="dxa"/>
          </w:tcPr>
          <w:p w:rsidR="00D73871" w:rsidRDefault="00181D04">
            <w:pPr>
              <w:pStyle w:val="ae"/>
              <w:spacing w:before="0" w:after="20" w:line="240" w:lineRule="auto"/>
              <w:jc w:val="left"/>
            </w:pPr>
            <w:r>
              <w:t>Ограничения</w:t>
            </w:r>
          </w:p>
        </w:tc>
        <w:tc>
          <w:tcPr>
            <w:tcW w:w="4677" w:type="dxa"/>
          </w:tcPr>
          <w:p>
            <w:pPr>
              <w:spacing w:before="0" w:after="20" w:line="240" w:lineRule="auto"/>
            </w:pPr>
            <w:r>
              <w:t>Candidate/In Review; no acceptance or personal signature inferred</w:t>
            </w:r>
          </w:p>
        </w:tc>
      </w:tr>
    </w:tbl>
    <w:p w:rsidR="00D73871" w:rsidRDefault="00D73871">
      <w:pPr>
        <w:spacing w:after="60" w:line="240" w:lineRule="auto"/>
      </w:pPr>
      <w:r/>
    </w:p>
    <w:p w:rsidR="00D73871" w:rsidRDefault="00181D04">
      <w:r>
        <w:t>Если отчёт включён в сам сдаваемый commit, итоговый SHA и pipeline указать в сопровождающей записи системы сдачи после создания тега, не создавая новый commit только ради его собственного SHA.</w:t>
      </w:r>
    </w:p>
    <w:p>
      <w:pPr>
        <w:pStyle w:val="af7"/>
      </w:pPr>
      <w:r>
        <w:t>СПИСОК ИСПОЛЬЗОВАННЫХ МАТЕРИАЛОВ</w:t>
      </w:r>
    </w:p>
    <w:p>
      <w:r>
        <w:t>Список источников приведён ниже и содержит методические материалы, официальную документацию и материалы проекта.</w:t>
      </w:r>
    </w:p>
    <w:p>
      <w:pPr>
        <w:pStyle w:val="1"/>
      </w:pPr>
      <w:r>
        <w:t>ИСТОЧНИКИ И ИНСТРУКЦИИ ДЛЯ СКРИНШОТОВ</w:t>
      </w:r>
    </w:p>
    <w:p>
      <w:r>
        <w:t>Список источников оформлен по ГОСТ Р 7.0.100–2018. Электронные материалы приведены с адресом и датой обращения.</w:t>
      </w:r>
    </w:p>
    <w:p>
      <w:r>
        <w:t>1. ГОСТ 7.32–2017. Межгосударственный стандарт. Система стандартов по информации, библиотечному и издательскому делу. Отчёт о научно-исследовательской работе. Структура и правила оформления. — Москва: Стандартинформ, 2018.</w:t>
      </w:r>
    </w:p>
    <w:p>
      <w:r>
        <w:t>2. ГОСТ Р 7.0.100–2018. Национальный стандарт Российской Федерации. Библиографическая запись. Библиографическое описание. Общие требования и правила составления. — Москва: Стандартинформ, 2018.</w:t>
      </w:r>
    </w:p>
    <w:p>
      <w:r>
        <w:t>3. The Go Programming Language. Documentation [Электронный ресурс]. — URL: https://go.dev/doc/ (дата обращения: 19.10.2026).</w:t>
      </w:r>
    </w:p>
    <w:p>
      <w:r>
        <w:t>4. The Go Programming Language. Go Modules Reference [Электронный ресурс]. — URL: https://go.dev/ref/mod (дата обращения: 19.10.2026).</w:t>
      </w:r>
    </w:p>
    <w:p>
      <w:r>
        <w:t>5. GCC Online Documentation. Using the GNU Compiler Collection [Электронный ресурс]. — URL: https://gcc.gnu.org/onlinedocs/ (дата обращения: 19.10.2026).</w:t>
      </w:r>
    </w:p>
    <w:p>
      <w:r>
        <w:t>6. GitHub Docs. About pull requests [Электронный ресурс]. — URL: https://docs.github.com/en/pull-requests/collaborating-with-pull-requests/about-pull-requests (дата обращения: 19.10.2026).</w:t>
      </w:r>
    </w:p>
    <w:p>
      <w:r>
        <w:t>7. HitPipe. Репозиторий проекта hitpipe/hitpipe [Электронный ресурс]. — URL: https://github.com/hitpipe/hitpipe (дата обращения: 19.10.2026).</w:t>
      </w:r>
    </w:p>
    <w:p>
      <w:r>
        <w:t>8. HitPipe. Файл README.md репозитория hitpipe/hitpipe [Электронный ресурс]. — URL: https://github.com/hitpipe/hitpipe/blob/main/README.md (дата обращения: 19.10.2026).</w:t>
      </w:r>
    </w:p>
    <w:p>
      <w:pPr>
        <w:pStyle w:val="2"/>
      </w:pPr>
      <w:r>
        <w:t>Откуда взять нужные скриншоты</w:t>
      </w:r>
    </w:p>
    <w:p>
      <w:r>
        <w:t>Скриншоты в этот файл не вставлены. Перед сдачей вставьте каждый снимок вместо соответствующего серого блока с тем же номером. На снимке должны быть видны название действия, команда или страница, итог проверки и дата. Не показывайте пароли, токены, личную переписку и содержимое папок вне проекта.</w:t>
      </w:r>
    </w:p>
    <w:p>
      <w:r>
        <w:t>Рисунок 1. Шаг 1: откройте https://hitpipe.atlassian.net/browse/HIT-47. Шаг 2: снимите верхнюю часть страницы с названием задачи и статусом. Шаг 3: в новой вкладке откройте https://github.com/hitpipe/hitpipe/pull/29 и снимите заголовок PR и его статус. Шаг 4: объедините два фрагмента рядом в одном рисунке. Сохраните как 0302-pz01-fig01.png. Подпись: «Требование, задача и запрос на слияние».</w:t>
      </w:r>
    </w:p>
    <w:p>
      <w:r>
        <w:t>Рисунок 2. Шаг 1: откройте PowerShell. Шаг 2: выполните Set-Location C:\projects\hitpipe\services\delivery. Шаг 3: выполните go test ./... . Шаг 4: выполните go vet ./... . Шаг 5: убедитесь, что команды завершились без ошибок и имеют exit code 0. Снимите обе команды и итоговый вывод. Сохраните как 0302-pz01-fig02.png. Подпись: «Автоматические проверки изменения требований».</w:t>
      </w:r>
    </w:p>
    <w:p>
      <w:r>
        <w:t>Рисунок 3. Шаг 1: откройте https://github.com/hitpipe/hitpipe/pull/29/files. Шаг 2: найдите обсуждение, связанное с требованиями или проверкой. Шаг 3: снимите название изменённого файла и принятое решение. Не включайте имена пользователей и личную переписку. Сохраните как 0302-pz01-fig03.png. Подпись: «Оппонирование другого проекта и принятое решение».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№1. Формирование требований и регламента инженерного процесса проекта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