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 xml:space="preserve">ОТЧЕТ </w:t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rPr>
          <w:tblHeader w:val="true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  <w:spacing w:before="0" w:after="20" w:line="240" w:lineRule="auto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0" w:after="20" w:line="240" w:lineRule="auto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  <w:spacing w:before="0" w:after="20" w:line="240" w:lineRule="auto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0" w:after="20" w:line="240" w:lineRule="auto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  <w:spacing w:before="0" w:after="20" w:line="240" w:lineRule="auto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20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rPr>
          <w:tblHeader w:val="true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Проектирование и реализация системы проверок программного продукта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  <w:r/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  <w:r/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>
        <w:t>РАБОТУ 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rPr>
          <w:tblHeader w:val="true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jc w:val="left"/>
              <w:rPr>
                <w:rFonts w:eastAsia="Times New Roman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 w:before="0" w:after="20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 w:before="0" w:after="20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20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 w:rsidR="003E4B92" w:rsidRDefault="008A392A">
      <w:pPr>
        <w:pStyle w:val="af8"/>
      </w:pPr>
      <w:r>
        <w:t>СОДЕРЖАНИЕ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ВВЕДЕНИЕ</w:t>
        <w:tab/>
        <w:t>3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1 Сведения о работе и проекте</w:t>
        <w:tab/>
        <w:t>4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2 Постановка задачи</w:t>
        <w:tab/>
        <w:t>5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3 Выполнение работы</w:t>
        <w:tab/>
        <w:t>6</w:t>
      </w:r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3.1 Проектирование проверок</w:t>
        <w:tab/>
        <w:t>6</w:t>
      </w:r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3.2 Данные и автоматизация</w:t>
        <w:tab/>
        <w:t>6</w:t>
      </w:r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3.3 Риски и приоритеты</w:t>
        <w:tab/>
        <w:t>6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4 Проверка результатов</w:t>
        <w:tab/>
        <w:t>7</w:t>
      </w:r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4.1 Прогоны</w:t>
        <w:tab/>
        <w:t>7</w:t>
      </w:r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4.2 Покрытие</w:t>
        <w:tab/>
        <w:t>7</w:t>
      </w:r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4.3 Серия засева не менее пяти дефектов</w:t>
        <w:tab/>
        <w:t>7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5 Индивидуальный вклад и взаимодействие</w:t>
        <w:tab/>
        <w:t>9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ЗАКЛЮЧЕНИЕ</w:t>
        <w:tab/>
        <w:t>10</w:t>
      </w:r>
    </w:p>
    <w:p w:rsidR="003E4B92" w:rsidRDefault="008A392A">
      <w:pPr>
        <w:ind w:firstLine="0"/>
      </w:pPr>
      <w:r/>
    </w:p>
    <w:p w:rsidR="003E4B92" w:rsidRDefault="008A392A">
      <w:pPr>
        <w:pStyle w:val="af9"/>
      </w:pPr>
      <w:r>
        <w:t>ВВЕДЕНИЕ</w:t>
      </w:r>
    </w:p>
    <w:p w:rsidR="003E4B92" w:rsidRDefault="008A392A">
      <w:r>
        <w:t xml:space="preserve">Цель работы: </w:t>
      </w:r>
    </w:p>
    <w:p w:rsidR="003E4B92" w:rsidRDefault="008A392A">
      <w:r>
        <w:t xml:space="preserve">Задача на рассматриваемом участке проекта: </w:t>
      </w:r>
    </w:p>
    <w:p w:rsidR="003E4B92" w:rsidRDefault="008A392A">
      <w:r>
        <w:t>Отчёт заполняется индивидуально. Общие материалы проекта приводятся по ссылкам; результаты и выводы относятся к личному участку студента.</w:t>
      </w:r>
    </w:p>
    <w:p w:rsidR="003E4B92" w:rsidRDefault="008A392A">
      <w:pPr>
        <w:pStyle w:val="af7"/>
      </w:pPr>
      <w:r>
        <w:t>1 Сведения о работе и проекте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3E4B92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Значение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ФИО, группа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Дмитрий Стацюк, группа не указана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Проект и команда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HitPipe; Delivery - Destination Integrations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Репозиторий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https://github.com/hitpipe/hitpipe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Личный модуль / участок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TargetReadback / services/delivery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Тег сдачи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не создан — human/Lead gate</w:t>
            </w:r>
          </w:p>
        </w:tc>
      </w:tr>
      <w:tr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Вариант выполнения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bafc97a0eb5cc2b2aba68c04a74b179b61432d82; correction PR #29</w:t>
            </w:r>
          </w:p>
        </w:tc>
      </w:tr>
      <w:tr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Версия и commit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Human/Lead-controlled capture → bafc97a0eb5cc2b2aba68c04a74b179b61432d82</w:t>
            </w:r>
          </w:p>
        </w:tc>
      </w:tr>
      <w:tr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Источник формы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Исходный преподавательский шаблон МДК03.02 ПР2; минимум пять мутаций вместо одиночного опыта</w:t>
            </w:r>
          </w:p>
        </w:tc>
      </w:tr>
    </w:tbl>
    <w:p w:rsidR="003E4B92" w:rsidRDefault="003E4B92">
      <w:pPr>
        <w:spacing w:after="60" w:line="240" w:lineRule="auto"/>
      </w:pPr>
      <w:r/>
    </w:p>
    <w:p w:rsidR="003E4B92" w:rsidRDefault="008A392A">
      <w:pPr>
        <w:pStyle w:val="af7"/>
      </w:pPr>
      <w:r>
        <w:t>2 Постановка задачи</w:t>
      </w:r>
    </w:p>
    <w:p w:rsidR="003E4B92" w:rsidRDefault="008A392A">
      <w:r>
        <w:t>Контракт модуля: .</w:t>
      </w:r>
    </w:p>
    <w:p w:rsidR="003E4B92" w:rsidRDefault="008A392A">
      <w:r>
        <w:t>Доступная граница: .</w:t>
      </w:r>
    </w:p>
    <w:p w:rsidR="003E4B92" w:rsidRDefault="008A392A">
      <w:r>
        <w:t>Зависимости: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2 — Требование / риск / Проверяемое правило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2175"/>
        <w:gridCol w:w="2175"/>
        <w:gridCol w:w="2828"/>
        <w:gridCol w:w="2175"/>
      </w:tblGrid>
      <w:tr w:rsidR="003E4B92">
        <w:trPr>
          <w:cantSplit/>
          <w:tblHeader/>
          <w:jc w:val="center"/>
        </w:trPr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Требование / риск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Проверяемое правило</w:t>
            </w:r>
          </w:p>
        </w:tc>
        <w:tc>
          <w:tcPr>
            <w:tcW w:w="2828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Основание ожидаемого результата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Уровень проверки</w:t>
            </w:r>
          </w:p>
        </w:tc>
      </w:tr>
      <w:tr w:rsidR="003E4B92">
        <w:trPr>
          <w:cantSplit/>
          <w:jc w:val="center"/>
        </w:trPr>
        <w:tc>
          <w:tcPr>
            <w:tcW w:w="217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FR-1–FR-4 / security</w:t>
            </w:r>
          </w:p>
        </w:tc>
        <w:tc>
          <w:tcPr>
            <w:tcW w:w="217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strict JSON, exact handoff, target/provenance and typed outcome rules</w:t>
            </w:r>
          </w:p>
        </w:tc>
        <w:tc>
          <w:tcPr>
            <w:tcW w:w="2828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requirements.md, security-baseline.md, BP004/T013 projection</w:t>
            </w:r>
          </w:p>
        </w:tc>
        <w:tc>
          <w:tcPr>
            <w:tcW w:w="217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domain + adapter + application tests</w:t>
            </w:r>
          </w:p>
        </w:tc>
      </w:tr>
    </w:tbl>
    <w:p w:rsidR="003E4B92" w:rsidRDefault="003E4B92">
      <w:pPr>
        <w:spacing w:after="60" w:line="240" w:lineRule="auto"/>
      </w:pPr>
      <w:r/>
    </w:p>
    <w:p w:rsidR="003E4B92" w:rsidRDefault="008A392A">
      <w:pPr>
        <w:pStyle w:val="af7"/>
      </w:pPr>
      <w:r>
        <w:t>3 Выполнение работы</w:t>
      </w:r>
    </w:p>
    <w:p w:rsidR="003E4B92" w:rsidRDefault="008A392A">
      <w:pPr>
        <w:pStyle w:val="afa"/>
      </w:pPr>
      <w:r>
        <w:t>3.1 Проектирование проверок</w:t>
      </w:r>
    </w:p>
    <w:p w:rsidR="003E4B92" w:rsidRDefault="008A392A">
      <w:r>
        <w:t>Техника 1: equivalence partitions: normal/mismatch/incomplete/unknown; показать вывод конкретных классов/границ/решений/переходов из требований, а не только назвать технику.</w:t>
      </w:r>
    </w:p>
    <w:p w:rsidR="003E4B92" w:rsidRDefault="008A392A">
      <w:r>
        <w:t>Техника 2: boundary-value and negative security tests for UTF-8, aliases, markers and provenance; набор включает штатный, ошибочный и граничный случаи. Число тестов определяется правилами и методичкой не нормируется.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3 — ID теста / Требование / риск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1022"/>
        <w:gridCol w:w="1572"/>
        <w:gridCol w:w="2044"/>
        <w:gridCol w:w="1572"/>
        <w:gridCol w:w="1572"/>
        <w:gridCol w:w="1572"/>
      </w:tblGrid>
      <w:tr w:rsidR="003E4B92">
        <w:trPr>
          <w:cantSplit/>
          <w:tblHeader/>
          <w:jc w:val="center"/>
        </w:trPr>
        <w:tc>
          <w:tcPr>
            <w:tcW w:w="102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ID теста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Требование / риск</w:t>
            </w:r>
          </w:p>
        </w:tc>
        <w:tc>
          <w:tcPr>
            <w:tcW w:w="2044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Исходное состояние и вход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Действия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Ожидаемый результат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Обоснование выбора</w:t>
            </w:r>
          </w:p>
        </w:tc>
      </w:tr>
      <w:tr w:rsidR="003E4B92">
        <w:trPr>
          <w:cantSplit/>
          <w:jc w:val="center"/>
        </w:trPr>
        <w:tc>
          <w:tcPr>
            <w:tcW w:w="1022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TD-1/TD-2</w:t>
            </w:r>
          </w:p>
        </w:tc>
        <w:tc>
          <w:tcPr>
            <w:tcW w:w="1572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equivalence partitions and boundary-value analysis</w:t>
            </w:r>
          </w:p>
        </w:tc>
        <w:tc>
          <w:tcPr>
            <w:tcW w:w="2044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aliases/duplicates/Unicode/controls; 32KiB escaped projection, 36KiB rendered block; six DI cases</w:t>
            </w:r>
          </w:p>
        </w:tc>
        <w:tc>
          <w:tcPr>
            <w:tcW w:w="1572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test ./...</w:t>
            </w:r>
          </w:p>
        </w:tc>
        <w:tc>
          <w:tcPr>
            <w:tcW w:w="1572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typed PASS/FAIL/Incomplete/Unknown assertions</w:t>
            </w:r>
          </w:p>
        </w:tc>
        <w:tc>
          <w:tcPr>
            <w:tcW w:w="1572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derived from requirements.md FR/NFR and BP004/T013</w:t>
            </w:r>
          </w:p>
        </w:tc>
      </w:tr>
    </w:tbl>
    <w:p w:rsidR="003E4B92" w:rsidRDefault="003E4B92">
      <w:pPr>
        <w:spacing w:after="60" w:line="240" w:lineRule="auto"/>
      </w:pPr>
      <w:r/>
    </w:p>
    <w:p w:rsidR="003E4B92" w:rsidRDefault="008A392A">
      <w:r>
        <w:t>Полный набор тест-кейсов: .</w:t>
      </w:r>
    </w:p>
    <w:p w:rsidR="003E4B92" w:rsidRDefault="008A392A">
      <w:r>
        <w:t>Чек-лист: .</w:t>
      </w:r>
    </w:p>
    <w:p w:rsidR="003E4B92" w:rsidRDefault="008A392A">
      <w:pPr>
        <w:pStyle w:val="afa"/>
      </w:pPr>
      <w:r>
        <w:t>3.2 Данные и автоматизация</w:t>
      </w:r>
    </w:p>
    <w:p w:rsidR="003E4B92" w:rsidRDefault="008A392A">
      <w:r>
        <w:t>Данные: services/delivery/testdata/{match,mismatch,incomplete}.json; синтетические, в репозитории; воспроизводимы из чистого клона без личных файлов и рабочих ключей. Для каждой заглушки описать непроверяемую внешнюю зависимость.</w:t>
      </w:r>
    </w:p>
    <w:p w:rsidR="003E4B92" w:rsidRDefault="008A392A">
      <w:r>
        <w:t>Подготовка и сброс состояния: .</w:t>
      </w:r>
    </w:p>
    <w:p w:rsidR="003E4B92" w:rsidRDefault="008A392A">
      <w:r>
        <w:t>Разработанные автоматические тесты: .</w:t>
      </w:r>
    </w:p>
    <w:p w:rsidR="003E4B92" w:rsidRDefault="008A392A">
      <w:r>
        <w:t>Изменение и включение в CI: .</w:t>
      </w:r>
    </w:p>
    <w:p w:rsidR="003E4B92" w:rsidRDefault="008A392A">
      <w:pPr>
        <w:pStyle w:val="afa"/>
      </w:pPr>
      <w:r>
        <w:t>3.3 Риски и приоритеты</w:t>
      </w:r>
    </w:p>
    <w:p w:rsidR="003E4B92" w:rsidRDefault="008A392A">
      <w:r>
        <w:t>Правило оценки: матрица методички «вероятность × ущерб». Низкая/средняя/высокая вероятность и небольшой/значимый/тяжёлый ущерб с обоснованием. Низкая×небольшой→низкий; низкая×значимый→средний; низкая×тяжёлый→высокий; средняя×небольшой→средний; средняя×значимый/тяжёлый→высокий; высокая×небольшой→средний; высокая×значимый/тяжёлый→высокий. Включить ≥1 риск безопасности; высокие риски проверять при каждом изменении, реальную среду и остаточные риски оговорить.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4 — ID / Событие и последствие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1031"/>
        <w:gridCol w:w="1585"/>
        <w:gridCol w:w="2061"/>
        <w:gridCol w:w="1585"/>
        <w:gridCol w:w="1031"/>
        <w:gridCol w:w="2061"/>
      </w:tblGrid>
      <w:tr w:rsidR="003E4B92">
        <w:trPr>
          <w:cantSplit/>
          <w:tblHeader/>
          <w:jc w:val="center"/>
        </w:trPr>
        <w:tc>
          <w:tcPr>
            <w:tcW w:w="103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ID</w:t>
            </w:r>
          </w:p>
        </w:tc>
        <w:tc>
          <w:tcPr>
            <w:tcW w:w="1585" w:type="dxa"/>
            <w:shd w:val="clear" w:color="auto" w:fill="F2F2F2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Событие, причина и последствие</w:t>
            </w:r>
          </w:p>
        </w:tc>
        <w:tc>
          <w:tcPr>
            <w:tcW w:w="206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Вероятность и основание</w:t>
            </w:r>
          </w:p>
        </w:tc>
        <w:tc>
          <w:tcPr>
            <w:tcW w:w="158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Ущерб и основание</w:t>
            </w:r>
          </w:p>
        </w:tc>
        <w:tc>
          <w:tcPr>
            <w:tcW w:w="103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Приоритет</w:t>
            </w:r>
          </w:p>
        </w:tc>
        <w:tc>
          <w:tcPr>
            <w:tcW w:w="206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Проверка, частота и остаточный риск</w:t>
            </w:r>
          </w:p>
        </w:tc>
      </w:tr>
      <w:tr w:rsidR="003E4B92">
        <w:trPr>
          <w:cantSplit/>
          <w:jc w:val="center"/>
        </w:trPr>
        <w:tc>
          <w:tcPr>
            <w:tcW w:w="1031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R-001</w:t>
            </w:r>
          </w:p>
        </w:tc>
        <w:tc>
          <w:tcPr>
            <w:tcW w:w="158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Malformed JSON/handoff → false match</w:t>
            </w:r>
          </w:p>
        </w:tc>
        <w:tc>
          <w:tcPr>
            <w:tcW w:w="2061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Medium: untrusted saved evidence</w:t>
            </w:r>
          </w:p>
        </w:tc>
        <w:tc>
          <w:tcPr>
            <w:tcW w:w="158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High: wrong delivery decision</w:t>
            </w:r>
          </w:p>
        </w:tc>
        <w:tc>
          <w:tcPr>
            <w:tcW w:w="1031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High</w:t>
            </w:r>
          </w:p>
        </w:tc>
        <w:tc>
          <w:tcPr>
            <w:tcW w:w="2061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strict parser tests every change; residual Low locally</w:t>
            </w:r>
          </w:p>
        </w:tc>
      </w:tr>
      <w:tr>
        <w:tc>
          <w:tcPr>
            <w:tcW w:type="dxa" w:w="103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R-002</w:t>
            </w:r>
          </w:p>
        </w:tc>
        <w:tc>
          <w:tcPr>
            <w:tcW w:type="dxa" w:w="158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Retrieval error → duplicate effect</w:t>
            </w:r>
          </w:p>
        </w:tc>
        <w:tc>
          <w:tcPr>
            <w:tcW w:type="dxa" w:w="206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Low: guarded consumer</w:t>
            </w:r>
          </w:p>
        </w:tc>
        <w:tc>
          <w:tcPr>
            <w:tcW w:type="dxa" w:w="158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High: possible external duplicate</w:t>
            </w:r>
          </w:p>
        </w:tc>
        <w:tc>
          <w:tcPr>
            <w:tcW w:type="dxa" w:w="103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High</w:t>
            </w:r>
          </w:p>
        </w:tc>
        <w:tc>
          <w:tcPr>
            <w:tcW w:type="dxa" w:w="206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FileReader/consumer error test every change; residual Medium live</w:t>
            </w:r>
          </w:p>
        </w:tc>
      </w:tr>
      <w:tr>
        <w:tc>
          <w:tcPr>
            <w:tcW w:type="dxa" w:w="103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R-003</w:t>
            </w:r>
          </w:p>
        </w:tc>
        <w:tc>
          <w:tcPr>
            <w:tcW w:type="dxa" w:w="158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Relabelled target → wrong confirmation</w:t>
            </w:r>
          </w:p>
        </w:tc>
        <w:tc>
          <w:tcPr>
            <w:tcW w:type="dxa" w:w="206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Medium: file input</w:t>
            </w:r>
          </w:p>
        </w:tc>
        <w:tc>
          <w:tcPr>
            <w:tcW w:type="dxa" w:w="158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High: wrong task</w:t>
            </w:r>
          </w:p>
        </w:tc>
        <w:tc>
          <w:tcPr>
            <w:tcW w:type="dxa" w:w="103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High</w:t>
            </w:r>
          </w:p>
        </w:tc>
        <w:tc>
          <w:tcPr>
            <w:tcW w:type="dxa" w:w="206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target/provenance DI test every change; residual Low</w:t>
            </w:r>
          </w:p>
        </w:tc>
      </w:tr>
      <w:tr>
        <w:tc>
          <w:tcPr>
            <w:tcW w:type="dxa" w:w="103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R-004</w:t>
            </w:r>
          </w:p>
        </w:tc>
        <w:tc>
          <w:tcPr>
            <w:tcW w:type="dxa" w:w="158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NUL/control input → ambiguous evidence</w:t>
            </w:r>
          </w:p>
        </w:tc>
        <w:tc>
          <w:tcPr>
            <w:tcW w:type="dxa" w:w="206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Medium before fix</w:t>
            </w:r>
          </w:p>
        </w:tc>
        <w:tc>
          <w:tcPr>
            <w:tcW w:type="dxa" w:w="158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Medium: unsafe text</w:t>
            </w:r>
          </w:p>
        </w:tc>
        <w:tc>
          <w:tcPr>
            <w:tcW w:type="dxa" w:w="103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High</w:t>
            </w:r>
          </w:p>
        </w:tc>
        <w:tc>
          <w:tcPr>
            <w:tcW w:type="dxa" w:w="206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control regression every change; residual Low</w:t>
            </w:r>
          </w:p>
        </w:tc>
      </w:tr>
      <w:tr>
        <w:tc>
          <w:tcPr>
            <w:tcW w:type="dxa" w:w="103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R-005</w:t>
            </w:r>
          </w:p>
        </w:tc>
        <w:tc>
          <w:tcPr>
            <w:tcW w:type="dxa" w:w="158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Escaping bypasses context budget</w:t>
            </w:r>
          </w:p>
        </w:tc>
        <w:tc>
          <w:tcPr>
            <w:tcW w:type="dxa" w:w="206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Medium: quote-heavy input</w:t>
            </w:r>
          </w:p>
        </w:tc>
        <w:tc>
          <w:tcPr>
            <w:tcW w:type="dxa" w:w="158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High: oversized evidence</w:t>
            </w:r>
          </w:p>
        </w:tc>
        <w:tc>
          <w:tcPr>
            <w:tcW w:type="dxa" w:w="103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High</w:t>
            </w:r>
          </w:p>
        </w:tc>
        <w:tc>
          <w:tcPr>
            <w:tcW w:type="dxa" w:w="206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JCS byte boundary every change; residual Low locally</w:t>
            </w:r>
          </w:p>
        </w:tc>
      </w:tr>
      <w:tr>
        <w:tc>
          <w:tcPr>
            <w:tcW w:type="dxa" w:w="103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R-006</w:t>
            </w:r>
          </w:p>
        </w:tc>
        <w:tc>
          <w:tcPr>
            <w:tcW w:type="dxa" w:w="158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Normalization changes spaces</w:t>
            </w:r>
          </w:p>
        </w:tc>
        <w:tc>
          <w:tcPr>
            <w:tcW w:type="dxa" w:w="206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Low: narrow normalizer</w:t>
            </w:r>
          </w:p>
        </w:tc>
        <w:tc>
          <w:tcPr>
            <w:tcW w:type="dxa" w:w="158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Medium: false match/mismatch</w:t>
            </w:r>
          </w:p>
        </w:tc>
        <w:tc>
          <w:tcPr>
            <w:tcW w:type="dxa" w:w="103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Medium</w:t>
            </w:r>
          </w:p>
        </w:tc>
        <w:tc>
          <w:tcPr>
            <w:tcW w:type="dxa" w:w="206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NFC/CRLF/space regression; residual Low</w:t>
            </w:r>
          </w:p>
        </w:tc>
      </w:tr>
      <w:tr>
        <w:tc>
          <w:tcPr>
            <w:tcW w:type="dxa" w:w="103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R-007</w:t>
            </w:r>
          </w:p>
        </w:tc>
        <w:tc>
          <w:tcPr>
            <w:tcW w:type="dxa" w:w="158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Human placeholder treated as PASS</w:t>
            </w:r>
          </w:p>
        </w:tc>
        <w:tc>
          <w:tcPr>
            <w:tcW w:type="dxa" w:w="206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High: manual workflow</w:t>
            </w:r>
          </w:p>
        </w:tc>
        <w:tc>
          <w:tcPr>
            <w:tcW w:type="dxa" w:w="158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Medium: provenance error</w:t>
            </w:r>
          </w:p>
        </w:tc>
        <w:tc>
          <w:tcPr>
            <w:tcW w:type="dxa" w:w="103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High</w:t>
            </w:r>
          </w:p>
        </w:tc>
        <w:tc>
          <w:tcPr>
            <w:tcW w:type="dxa" w:w="2061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report audit per submission; residual Medium until human gate</w:t>
            </w:r>
          </w:p>
        </w:tc>
      </w:tr>
    </w:tbl>
    <w:p w:rsidR="003E4B92" w:rsidRDefault="003E4B92">
      <w:pPr>
        <w:spacing w:after="60" w:line="240" w:lineRule="auto"/>
      </w:pPr>
      <w:r/>
    </w:p>
    <w:p w:rsidR="003E4B92" w:rsidRDefault="008A392A">
      <w:pPr>
        <w:pStyle w:val="af7"/>
      </w:pPr>
      <w:r>
        <w:t>4 Проверка результатов</w:t>
      </w:r>
    </w:p>
    <w:p w:rsidR="003E4B92" w:rsidRDefault="008A392A">
      <w:pPr>
        <w:pStyle w:val="afa"/>
      </w:pPr>
      <w:r>
        <w:t>4.1 Прогоны</w:t>
      </w:r>
    </w:p>
    <w:p w:rsidR="003E4B92" w:rsidRDefault="008A392A">
      <w:r>
        <w:t>Среда: .</w:t>
      </w:r>
    </w:p>
    <w:p w:rsidR="003E4B92" w:rsidRDefault="008A392A">
      <w:r>
        <w:t>Команды: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5 — Тест / набор / Версия и условия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[МЕСТО ДЛЯ СКРИНШОТА 1 — Локальный прогон тестов собственного модуля]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Times New Roman"/>
          <w:sz w:val="24"/>
        </w:rPr>
        <w:t>Рисунок 1 — Локальный прогон тестов собственного модуля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1765"/>
        <w:gridCol w:w="1765"/>
        <w:gridCol w:w="1765"/>
        <w:gridCol w:w="2294"/>
        <w:gridCol w:w="1765"/>
      </w:tblGrid>
      <w:tr w:rsidR="003E4B92">
        <w:trPr>
          <w:cantSplit/>
          <w:tblHeader/>
          <w:jc w:val="center"/>
        </w:trPr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Тест / набор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Версия и условия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Фактический результат</w:t>
            </w:r>
          </w:p>
        </w:tc>
        <w:tc>
          <w:tcPr>
            <w:tcW w:w="2294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PASS / FAIL / BLOCKED / Результат фиксируется в журнале проверки.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Подтверждение</w:t>
            </w:r>
          </w:p>
        </w:tc>
      </w:tr>
      <w:tr w:rsidR="003E4B92">
        <w:trPr>
          <w:cantSplit/>
          <w:jc w:val="center"/>
        </w:trPr>
        <w:tc>
          <w:tcPr>
            <w:tcW w:w="176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T-JSON</w:t>
            </w:r>
          </w:p>
        </w:tc>
        <w:tc>
          <w:tcPr>
            <w:tcW w:w="176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strict parser boundaries</w:t>
            </w:r>
          </w:p>
        </w:tc>
        <w:tc>
          <w:tcPr>
            <w:tcW w:w="176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test ./...</w:t>
            </w:r>
          </w:p>
        </w:tc>
        <w:tc>
          <w:tcPr>
            <w:tcW w:w="2294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</w:t>
            </w:r>
          </w:p>
        </w:tc>
        <w:tc>
          <w:tcPr>
            <w:tcW w:w="176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review_regressions_test.go</w:t>
            </w:r>
          </w:p>
        </w:tc>
      </w:tr>
      <w:tr>
        <w:tc>
          <w:tcPr>
            <w:tcW w:type="dxa" w:w="176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T-DI</w:t>
            </w:r>
          </w:p>
        </w:tc>
        <w:tc>
          <w:tcPr>
            <w:tcW w:type="dxa" w:w="176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6 DI scenarios</w:t>
            </w:r>
          </w:p>
        </w:tc>
        <w:tc>
          <w:tcPr>
            <w:tcW w:type="dxa" w:w="176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test ./internal/adapters/fixtures/targetreader -run TestFileReaderAndDoubleShareVerifyTargetContract</w:t>
            </w:r>
          </w:p>
        </w:tc>
        <w:tc>
          <w:tcPr>
            <w:tcW w:type="dxa" w:w="2294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</w:t>
            </w:r>
          </w:p>
        </w:tc>
        <w:tc>
          <w:tcPr>
            <w:tcW w:type="dxa" w:w="176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di_contract_test.go</w:t>
            </w:r>
          </w:p>
        </w:tc>
      </w:tr>
      <w:tr>
        <w:tc>
          <w:tcPr>
            <w:tcW w:type="dxa" w:w="176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T-VET</w:t>
            </w:r>
          </w:p>
        </w:tc>
        <w:tc>
          <w:tcPr>
            <w:tcW w:type="dxa" w:w="176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static</w:t>
            </w:r>
          </w:p>
        </w:tc>
        <w:tc>
          <w:tcPr>
            <w:tcW w:type="dxa" w:w="176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vet ./...</w:t>
            </w:r>
          </w:p>
        </w:tc>
        <w:tc>
          <w:tcPr>
            <w:tcW w:type="dxa" w:w="2294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</w:t>
            </w:r>
          </w:p>
        </w:tc>
        <w:tc>
          <w:tcPr>
            <w:tcW w:type="dxa" w:w="176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HIT-47-go-vet.log</w:t>
            </w:r>
          </w:p>
        </w:tc>
      </w:tr>
      <w:tr>
        <w:tc>
          <w:tcPr>
            <w:tcW w:type="dxa" w:w="176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T-RACE</w:t>
            </w:r>
          </w:p>
        </w:tc>
        <w:tc>
          <w:tcPr>
            <w:tcW w:type="dxa" w:w="176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race</w:t>
            </w:r>
          </w:p>
        </w:tc>
        <w:tc>
          <w:tcPr>
            <w:tcW w:type="dxa" w:w="176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CGO_ENABLED=1 go test -race ./...</w:t>
            </w:r>
          </w:p>
        </w:tc>
        <w:tc>
          <w:tcPr>
            <w:tcW w:type="dxa" w:w="2294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</w:t>
            </w:r>
          </w:p>
        </w:tc>
        <w:tc>
          <w:tcPr>
            <w:tcW w:type="dxa" w:w="1765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HIT-47-go-race.log</w:t>
            </w:r>
          </w:p>
        </w:tc>
      </w:tr>
    </w:tbl>
    <w:p w:rsidR="003E4B92" w:rsidRDefault="003E4B92">
      <w:pPr>
        <w:spacing w:after="60" w:line="240" w:lineRule="auto"/>
      </w:pPr>
      <w:r/>
    </w:p>
    <w:p w:rsidR="003E4B92" w:rsidRDefault="008A392A">
      <w:r>
        <w:t>Скрытый набор: «не получен», пока преподаватель реально не выдал набор. Если выдан — версия, команда, результат и анализ; не придумывать скрытые тесты.</w:t>
      </w:r>
    </w:p>
    <w:p w:rsidR="003E4B92" w:rsidRDefault="008A392A">
      <w:r>
        <w:t>Причины FAIL, BLOCKED и пропусков: .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[МЕСТО ДЛЯ СКРИНШОТА 2 — Тесты сдаваемой версии в CI]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Times New Roman"/>
          <w:sz w:val="24"/>
        </w:rPr>
        <w:t>Рисунок 2 — Тесты сдаваемой версии в CI</w:t>
      </w:r>
    </w:p>
    <w:p w:rsidR="003E4B92" w:rsidRDefault="008A392A">
      <w:pPr>
        <w:pStyle w:val="afa"/>
      </w:pPr>
      <w:r>
        <w:t>4.2 Покрытие</w:t>
      </w:r>
    </w:p>
    <w:p w:rsidR="003E4B92" w:rsidRDefault="008A392A">
      <w:r>
        <w:t>Инструмент, команда, вид и область покрытия: .</w:t>
      </w:r>
    </w:p>
    <w:p w:rsidR="003E4B92" w:rsidRDefault="008A392A">
      <w:r>
        <w:t>Отчёт инструмента: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6 — Найденный пробел / ограничение / Почему существенен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[МЕСТО ДЛЯ СКРИНШОТА 3 — Покрытие собственного модуля и разбор пробела]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Times New Roman"/>
          <w:sz w:val="24"/>
        </w:rPr>
        <w:t>Рисунок 3 — Покрытие собственного модуля и разбор пробела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2828"/>
        <w:gridCol w:w="2175"/>
        <w:gridCol w:w="2175"/>
        <w:gridCol w:w="2175"/>
      </w:tblGrid>
      <w:tr w:rsidR="003E4B92">
        <w:trPr>
          <w:cantSplit/>
          <w:tblHeader/>
          <w:jc w:val="center"/>
        </w:trPr>
        <w:tc>
          <w:tcPr>
            <w:tcW w:w="2828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Найденный пробел / ограничение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Почему существенен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Принятое решение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Повторная проверка</w:t>
            </w:r>
          </w:p>
        </w:tc>
      </w:tr>
      <w:tr w:rsidR="003E4B92">
        <w:trPr>
          <w:cantSplit/>
          <w:jc w:val="center"/>
        </w:trPr>
        <w:tc>
          <w:tcPr>
            <w:tcW w:w="2828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Domain/readback 74.7%; application 77.8%; FileReader 63.2%; CLI 0.0%</w:t>
            </w:r>
          </w:p>
        </w:tc>
        <w:tc>
          <w:tcPr>
            <w:tcW w:w="217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CLI is thin composition root; provider I/O and human gates are outside automated coverage</w:t>
            </w:r>
          </w:p>
        </w:tc>
        <w:tc>
          <w:tcPr>
            <w:tcW w:w="217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Keep CLI smoke; add semantic tests at domain/application/adapter boundaries</w:t>
            </w:r>
          </w:p>
        </w:tc>
        <w:tc>
          <w:tcPr>
            <w:tcW w:w="217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HIT-47-go-test.log and test-design.md</w:t>
            </w:r>
          </w:p>
        </w:tc>
      </w:tr>
    </w:tbl>
    <w:p w:rsidR="003E4B92" w:rsidRDefault="003E4B92">
      <w:pPr>
        <w:spacing w:after="60" w:line="240" w:lineRule="auto"/>
      </w:pPr>
      <w:r/>
    </w:p>
    <w:p w:rsidR="003E4B92" w:rsidRDefault="008A392A">
      <w:r>
        <w:t>Если выбранный код выполнялся полностью, объяснить, что этим всё ещё не доказано. Один процент покрытия без анализа недостаточен.</w:t>
      </w:r>
    </w:p>
    <w:p w:rsidR="003E4B92" w:rsidRDefault="008A392A">
      <w:pPr>
        <w:pStyle w:val="afa"/>
      </w:pPr>
      <w:r>
        <w:t>4.3 Серия засева не менее пяти дефектов</w:t>
      </w:r>
    </w:p>
    <w:p w:rsidR="003E4B92" w:rsidRDefault="008A392A">
      <w:r>
        <w:t>Серия: минимум пять отдельных дефектов, каждый нарушает указанный канонический контракт/правило. Не вводить искусственную бизнес-логику ради мутаций.</w:t>
      </w:r>
    </w:p>
    <w:p w:rsidR="003E4B92" w:rsidRDefault="008A392A">
      <w:r>
        <w:t>Каждый дефект вносится по одному в изолированной временной ветке и должен компилироваться. Сначала исправный код PASS; затем каждый мутант с тем же набором; после всех опытов полное восстановление и PASS. Ошибка сборки не считается обнаружением.</w:t>
      </w:r>
    </w:p>
    <w:p w:rsidR="003E4B92" w:rsidRDefault="008A392A">
      <w:r>
        <w:t>Воспроизведение: docs/labs/pr12/ds/run_mutations.ps1; patch/commit каждого мутанта, неизменный исходный код/версия тестов, команды, журналы, код завершения. Мутант не сливается в основную ветку.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7 — Состояние / Версия кода и тестов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7"/>
      </w:tblPr>
      <w:tblGrid>
        <w:gridCol w:w="2339"/>
        <w:gridCol w:w="2339"/>
        <w:gridCol w:w="2339"/>
        <w:gridCol w:w="2339"/>
      </w:tblGrid>
      <w:tr w:rsidR="003E4B92">
        <w:trPr>
          <w:cantSplit/>
          <w:tblHeader/>
          <w:jc w:val="center"/>
        </w:trPr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Состояние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Версия кода и тестов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Фактический результат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Подтверждение и вывод</w:t>
            </w: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Исходный корректный код</w:t>
            </w:r>
          </w:p>
        </w:tc>
        <w:tc>
          <w:tcPr>
            <w:tcW w:w="2339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bafc97a0eb5cc2b2aba68c04a74b179b61432d82</w:t>
            </w:r>
          </w:p>
        </w:tc>
        <w:tc>
          <w:tcPr>
            <w:tcW w:w="2339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all local named tests PASS</w:t>
            </w:r>
          </w:p>
        </w:tc>
        <w:tc>
          <w:tcPr>
            <w:tcW w:w="2339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HIT-47-go-test.log</w:t>
            </w: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Код с дефектом</w:t>
            </w:r>
          </w:p>
        </w:tc>
        <w:tc>
          <w:tcPr>
            <w:tcW w:w="2339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five one-at-a-time compiling mutants</w:t>
            </w:r>
          </w:p>
        </w:tc>
        <w:tc>
          <w:tcPr>
            <w:tcW w:w="2339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each assertion FAIL; no compile failure counted</w:t>
            </w:r>
          </w:p>
        </w:tc>
        <w:tc>
          <w:tcPr>
            <w:tcW w:w="2339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HIT-45-mutations-actual.log / repeat logs</w:t>
            </w: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Восстановленный код</w:t>
            </w:r>
          </w:p>
        </w:tc>
        <w:tc>
          <w:tcPr>
            <w:tcW w:w="2339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bafc97a0eb5cc2b2aba68c04a74b179b61432d82</w:t>
            </w:r>
          </w:p>
        </w:tc>
        <w:tc>
          <w:tcPr>
            <w:tcW w:w="2339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full restored suite PASS; race/vet/smoke rerun</w:t>
            </w:r>
          </w:p>
        </w:tc>
        <w:tc>
          <w:tcPr>
            <w:tcW w:w="2339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restoration log and CI</w:t>
            </w:r>
          </w:p>
        </w:tc>
      </w:tr>
    </w:tbl>
    <w:p w:rsidR="003E4B92" w:rsidRDefault="003E4B92">
      <w:pPr>
        <w:spacing w:after="60" w:line="240" w:lineRule="auto"/>
      </w:pPr>
      <w:r/>
    </w:p>
    <w:p>
      <w:pPr/>
      <w:r>
        <w:t>Таблица 7а — Индивидуальный протокол всех засеянных дефектов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[МЕСТО ДЛЯ СКРИНШОТА 4 — Обнаружение одного из засеянных дефектов]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Times New Roman"/>
          <w:sz w:val="24"/>
        </w:rPr>
        <w:t>Рисунок 4 — Обнаружение одного из засеянных дефектов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ID и patch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Нарушаемое правило и смысл изменения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Компилируется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Тест и первый результат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Обнаружен / пропущен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Причина пропуска и усиление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Повторный прогон и журнал</w:t>
            </w:r>
          </w:p>
        </w:tc>
      </w:tr>
      <w:tr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M1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remove retrieval guard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TestCompareIncompleteAndUnknownPrecedence FAIL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detected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unknown precedence assertion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restored PASS</w:t>
            </w:r>
          </w:p>
        </w:tc>
      </w:tr>
      <w:tr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M2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change malformed handoff outcome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canonical handoff regression FAIL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detected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incomplete assertion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restored PASS</w:t>
            </w:r>
          </w:p>
        </w:tc>
      </w:tr>
      <w:tr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M3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remove title mismatch guard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field mismatch regression FAIL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detected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title assertion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restored PASS</w:t>
            </w:r>
          </w:p>
        </w:tc>
      </w:tr>
      <w:tr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M4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skip title UTF-8 validation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invalid UTF-8 regression FAIL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detected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unknown assertion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restored PASS</w:t>
            </w:r>
          </w:p>
        </w:tc>
      </w:tr>
      <w:tr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M5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remove assignee comparison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assignee mismatch regression FAIL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detected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configured assignee assertion</w:t>
            </w:r>
          </w:p>
        </w:tc>
        <w:tc>
          <w:tcPr>
            <w:tcW w:type="dxa" w:w="1336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restored PASS</w:t>
            </w:r>
          </w:p>
        </w:tc>
      </w:tr>
    </w:tbl>
    <w:p>
      <w:pPr/>
      <w:r>
        <w:t>Итог серии: засеяно 5 executed; all compiled and were detected; no survivor (≥5); обнаружено первым набором 5/5; пропущено первым набором 0/5; после усиления обнаружено 5/5. Естественных дефектов 9 review findings fixed, ссылки на задачи DS-REV-001–009; correction-record maps each finding. Нулевое число естественных дефектов допустимо; не выдумывать находки. Не заявлять статистический остаток по Миллсу без применимости и оговорок.</w:t>
      </w:r>
    </w:p>
    <w:p w:rsidR="003E4B92" w:rsidRDefault="008A392A">
      <w:r>
        <w:t>Для каждого пропущенного дефекта записать причину, дополнительный тест и оба фактических прогона. Если пропусков нет — указать фактическое отсутствие, а не искусственно создавать пропуск.</w:t>
      </w:r>
    </w:p>
    <w:p w:rsidR="003E4B92" w:rsidRDefault="008A392A">
      <w:r>
        <w:t>Состояние сдачи: исправный код bafc97a0eb5cc2b2aba68c04a74b179b61432d82, все мутации удалены, чистая рабочая копия, итоговый локальный и CI PASS. Автоматические локальные прогоны и evidence CI для correction package выполнены; human-only captures остаются отдельным шагом. Тег no tag — human/Lead gate неизменяемый; доработка новым v2 без перемещения старого тега.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[МЕСТО ДЛЯ СКРИНШОТА 5 — Успешный прогон после полного восстановления кода]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Times New Roman"/>
          <w:sz w:val="24"/>
        </w:rPr>
        <w:t>Рисунок 5 — Успешный прогон после полного восстановления кода</w:t>
      </w:r>
    </w:p>
    <w:p w:rsidR="003E4B92" w:rsidRDefault="008A392A">
      <w:pPr>
        <w:pStyle w:val="af7"/>
      </w:pPr>
      <w:r>
        <w:t>5 Индивидуальный вклад и взаимодействие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8 — Индивидуальный результат / Выполненные действия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8"/>
      </w:tblPr>
      <w:tblGrid>
        <w:gridCol w:w="3685"/>
        <w:gridCol w:w="2835"/>
        <w:gridCol w:w="2835"/>
      </w:tblGrid>
      <w:tr w:rsidR="003E4B92">
        <w:trPr>
          <w:cantSplit/>
          <w:tblHeader/>
          <w:jc w:val="center"/>
        </w:trPr>
        <w:tc>
          <w:tcPr>
            <w:tcW w:w="368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Индивидуальный результат</w:t>
            </w:r>
          </w:p>
        </w:tc>
        <w:tc>
          <w:tcPr>
            <w:tcW w:w="283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Выполненные действия</w:t>
            </w:r>
          </w:p>
        </w:tc>
        <w:tc>
          <w:tcPr>
            <w:tcW w:w="283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Подтверждение</w:t>
            </w:r>
          </w:p>
        </w:tc>
      </w:tr>
      <w:tr w:rsidR="003E4B92">
        <w:trPr>
          <w:cantSplit/>
          <w:jc w:val="center"/>
        </w:trPr>
        <w:tc>
          <w:tcPr>
            <w:tcW w:w="368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System of checks</w:t>
            </w:r>
          </w:p>
        </w:tc>
        <w:tc>
          <w:tcPr>
            <w:tcW w:w="283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two test-design techniques; 7-risk matrix; 5 compiling behavioral mutations; local/CI/race/vet/smoke evidence</w:t>
            </w:r>
          </w:p>
        </w:tc>
        <w:tc>
          <w:tcPr>
            <w:tcW w:w="2835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 hidden suite/live provider/human acceptance is claimed</w:t>
            </w:r>
          </w:p>
        </w:tc>
      </w:tr>
    </w:tbl>
    <w:p w:rsidR="003E4B92" w:rsidRDefault="003E4B92">
      <w:pPr>
        <w:spacing w:after="60" w:line="240" w:lineRule="auto"/>
      </w:pPr>
      <w:r/>
    </w:p>
    <w:p w:rsidR="003E4B92" w:rsidRDefault="008A392A">
      <w:r>
        <w:t>Общие средства и результаты других участников: .</w:t>
      </w:r>
    </w:p>
    <w:p w:rsidR="003E4B92" w:rsidRDefault="008A392A">
      <w:r>
        <w:t>Полученные замечания и решения: .</w:t>
      </w:r>
    </w:p>
    <w:p w:rsidR="003E4B92" w:rsidRDefault="008A392A">
      <w:pPr>
        <w:pStyle w:val="af9"/>
      </w:pPr>
      <w:r>
        <w:t>ЗАКЛЮЧЕНИЕ</w:t>
      </w:r>
    </w:p>
    <w:p w:rsidR="003E4B92" w:rsidRDefault="008A392A">
      <w:r>
        <w:t>Что обнаруживает разработанный набор и чем это подтверждено: .</w:t>
      </w:r>
    </w:p>
    <w:p w:rsidR="003E4B92" w:rsidRDefault="008A392A">
      <w:r>
        <w:t>Что показали покрытие и эксперимент с дефектом: .</w:t>
      </w:r>
    </w:p>
    <w:p w:rsidR="003E4B92" w:rsidRDefault="008A392A">
      <w:r>
        <w:t>Границы доказательства и остаточные риски: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9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9"/>
      </w:tblPr>
      <w:tblGrid>
        <w:gridCol w:w="4677"/>
        <w:gridCol w:w="4677"/>
      </w:tblGrid>
      <w:tr w:rsidR="003E4B92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Значение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Работа и автор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МДК.03.02, ПЗ №2, Дмитрий Стацюк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Tag → commit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не создан — human/Lead gate; source bafc97a0eb5cc2b2aba68c04a74b179b61432d82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Участок и требования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TargetReadback; FR-1–FR-4; BP004/T013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Кейсы, тесты, данные, команды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fixtures; go test/vet/race; workspace smoke; logs in evidence/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Локальный результат и pipeline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local PASS; CI evidence linked in handoff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Покрытие и решение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74.7/77.8/63.2/0.0 coverage with gap decisions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Мутация и восстановление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five mutations detected and restored; natural findings DS-REV-001/003/004/006/007/008/009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spacing w:before="0" w:after="2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Риски и ограничения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candidate risk register; live permissions/hidden set/human gates pending</w:t>
            </w:r>
          </w:p>
        </w:tc>
      </w:tr>
    </w:tbl>
    <w:p w:rsidR="003E4B92" w:rsidRDefault="003E4B92">
      <w:pPr>
        <w:spacing w:after="60" w:line="240" w:lineRule="auto"/>
      </w:pPr>
      <w:r/>
    </w:p>
    <w:p w:rsidR="003E4B92" w:rsidRDefault="008A392A">
      <w:r>
        <w:t>Если отчёт включён в сам сдаваемый commit, итоговый SHA и pipeline внести в сопровождающую запись системы сдачи после создания тега. Не следует создавать новый commit только для записи SHA того же самого коммита.</w:t>
      </w:r>
    </w:p>
    <w:p>
      <w:pPr>
        <w:pStyle w:val="af7"/>
      </w:pPr>
      <w:r>
        <w:t>СПИСОК ИСПОЛЬЗОВАННЫХ МАТЕРИАЛОВ</w:t>
      </w:r>
    </w:p>
    <w:p>
      <w:r>
        <w:t>Список источников приведён ниже и содержит методические материалы, официальную документацию и материалы проекта.</w:t>
      </w:r>
    </w:p>
    <w:p>
      <w:pPr>
        <w:pStyle w:val="1"/>
      </w:pPr>
      <w:r>
        <w:t>ИСТОЧНИКИ И ИНСТРУКЦИИ ДЛЯ СКРИНШОТОВ</w:t>
      </w:r>
    </w:p>
    <w:p>
      <w:r>
        <w:t>Список источников оформлен по ГОСТ Р 7.0.100–2018. Электронные материалы приведены с адресом и датой обращения.</w:t>
      </w:r>
    </w:p>
    <w:p>
      <w:r>
        <w:t>1. ГОСТ 7.32–2017. Межгосударственный стандарт. Система стандартов по информации, библиотечному и издательскому делу. Отчёт о научно-исследовательской работе. Структура и правила оформления. — Москва: Стандартинформ, 2018.</w:t>
      </w:r>
    </w:p>
    <w:p>
      <w:r>
        <w:t>2. ГОСТ Р 7.0.100–2018. Национальный стандарт Российской Федерации. Библиографическая запись. Библиографическое описание. Общие требования и правила составления. — Москва: Стандартинформ, 2018.</w:t>
      </w:r>
    </w:p>
    <w:p>
      <w:r>
        <w:t>3. The Go Programming Language. Documentation [Электронный ресурс]. — URL: https://go.dev/doc/ (дата обращения: 19.10.2026).</w:t>
      </w:r>
    </w:p>
    <w:p>
      <w:r>
        <w:t>4. The Go Programming Language. Go Modules Reference [Электронный ресурс]. — URL: https://go.dev/ref/mod (дата обращения: 19.10.2026).</w:t>
      </w:r>
    </w:p>
    <w:p>
      <w:r>
        <w:t>5. GCC Online Documentation. Using the GNU Compiler Collection [Электронный ресурс]. — URL: https://gcc.gnu.org/onlinedocs/ (дата обращения: 19.10.2026).</w:t>
      </w:r>
    </w:p>
    <w:p>
      <w:r>
        <w:t>6. GitHub Docs. About pull requests [Электронный ресурс]. — URL: https://docs.github.com/en/pull-requests/collaborating-with-pull-requests/about-pull-requests (дата обращения: 19.10.2026).</w:t>
      </w:r>
    </w:p>
    <w:p>
      <w:r>
        <w:t>7. HitPipe. Репозиторий проекта hitpipe/hitpipe [Электронный ресурс]. — URL: https://github.com/hitpipe/hitpipe (дата обращения: 19.10.2026).</w:t>
      </w:r>
    </w:p>
    <w:p>
      <w:r>
        <w:t>8. HitPipe. Файл README.md репозитория hitpipe/hitpipe [Электронный ресурс]. — URL: https://github.com/hitpipe/hitpipe/blob/main/README.md (дата обращения: 19.10.2026).</w:t>
      </w:r>
    </w:p>
    <w:p>
      <w:pPr>
        <w:pStyle w:val="2"/>
      </w:pPr>
      <w:r>
        <w:t>Откуда взять нужные скриншоты</w:t>
      </w:r>
    </w:p>
    <w:p>
      <w:r>
        <w:t>Скриншоты в этот файл не вставлены. Перед сдачей вставьте каждый снимок вместо соответствующего серого блока с тем же номером. На снимке должны быть видны название действия, команда или страница, итог проверки и дата. Не показывайте пароли, токены, личную переписку и содержимое папок вне проекта.</w:t>
      </w:r>
    </w:p>
    <w:p>
      <w:r>
        <w:rPr>
          <w:rFonts w:ascii="Times New Roman" w:hAnsi="Times New Roman"/>
          <w:sz w:val="20"/>
        </w:rPr>
        <w:t>Рисунок 1. Шаг 1: откройте PowerShell. Шаг 2: выполните cd 'ПОЛНЫЙ_ПУТЬ_К_КЛОНУ\hitpipe\services\delivery'. Шаг 3: выполните по очереди go test ./..., go vet ./... и $env:CGO_ENABLED='1'; go test -race ./... . Шаг 4: дождитесь строк ok и отсутствия ошибок. Снимите команды и итог. Сохраните как 0302-pz02-fig01.png. Подпись: «Локальный прогон тестов собственного модуля».</w:t>
      </w:r>
    </w:p>
    <w:p>
      <w:r>
        <w:rPr>
          <w:rFonts w:ascii="Times New Roman" w:hAnsi="Times New Roman"/>
          <w:sz w:val="20"/>
        </w:rPr>
        <w:t>Рисунок 2. Шаг 1: откройте https://github.com/hitpipe/hitpipe/actions/runs/39279704440. Шаг 2: дождитесь загрузки страницы. Шаг 3: проверьте, что вверху указан нужный commit и рядом стоит зелёная отметка Success. Шаг 4: снимите название запуска, commit и зелёный статус. Сохраните как 0302-pz02-fig02.png. Подпись: «Тесты сдаваемой версии в CI».</w:t>
      </w:r>
    </w:p>
    <w:p>
      <w:r>
        <w:rPr>
          <w:rFonts w:ascii="Times New Roman" w:hAnsi="Times New Roman"/>
          <w:sz w:val="20"/>
        </w:rPr>
        <w:t>Рисунок 3. Шаг 1: откройте PowerShell в папке services/delivery. Шаг 2: выполните go test ./... -coverprofile=coverage.out . Шаг 3: выполните go tool cover -func=coverage.out . Шаг 4: найдите таблицу с именами функций и процентами покрытия. Шаг 5: снимите таблицу и строку с участком меньшего покрытия. Сохраните как 0302-pz02-fig03.png. Подпись: «Покрытие собственного модуля и найденный пробел».</w:t>
      </w:r>
    </w:p>
    <w:p>
      <w:r>
        <w:rPr>
          <w:rFonts w:ascii="Times New Roman" w:hAnsi="Times New Roman"/>
          <w:sz w:val="20"/>
        </w:rPr>
        <w:t>Рисунок 4. Шаг 1: откройте PowerShell в корне клона проекта. Шаг 2: выполните powershell -ExecutionPolicy Bypass -File docs/labs/pr12/ds/run_mutations.ps1 . Шаг 3: дождитесь завершения серии. Шаг 4: откройте журнал, найдите один мутант со статусом detected и строку теста, который его обнаружил. Сохраните как 0302-pz02-fig04.png. Подпись: «Обнаружение засеянного дефекта». Ошибка компиляции не подходит для этого рисунка.</w:t>
      </w:r>
    </w:p>
    <w:p>
      <w:r>
        <w:rPr>
          <w:rFonts w:ascii="Times New Roman" w:hAnsi="Times New Roman"/>
          <w:sz w:val="20"/>
        </w:rPr>
        <w:t>Рисунок 5. Шаг 1: снова выполните go test ./... в services/delivery после завершения мутаций. Шаг 2: откройте https://github.com/hitpipe/hitpipe/actions/runs/39279704440. Шаг 3: убедитесь, что локальный тест завершился строкой ok, а CI имеет зелёный статус. Шаг 4: снимите оба результата. Сохраните как 0302-pz02-fig05.png. Подпись: «Успешный прогон после восстановления кода».</w:t>
      </w:r>
    </w:p>
    <w:sectPr w:rsidR="003E4B92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B92" w:rsidRDefault="008A392A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B9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A392A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0613837-CB3E-462F-A63C-739BFF8FD5B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AE81E-8EA6-4B93-B414-ED86A27C6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605</Words>
  <Characters>4049</Characters>
  <Application>Microsoft Office Word</Application>
  <DocSecurity>0</DocSecurity>
  <Lines>134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№2. Проектирование и реализация системы проверок программного продукта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2026-10-07T07:12:00Z</dcterms:modified>
</cp:coreProperties>
</file>