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 xml:space="preserve">ОТЧЕТ </w:t>
        <w:br/>
        <w:t>ЗАЩИЩЕН С ОЦЕНКОЙ</w:t>
      </w:r>
    </w:p>
    <w:p w:rsidR="002C377F" w:rsidRPr="005F3E53" w:rsidRDefault="00E16E87" w:rsidP="002C377F">
      <w:pPr>
        <w:pStyle w:val="-4"/>
      </w:pPr>
      <w:r>
        <w:t>ПРЕПОДАВАТЕЛЬ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rPr>
          <w:tblHeader w:val="true"/>
        </w:trPr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0" w:after="0" w:line="240" w:lineRule="auto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center"/>
          </w:tcPr>
          <w:p w:rsidR="00D538E8" w:rsidRPr="005F3E53" w:rsidRDefault="00D538E8" w:rsidP="00D538E8">
            <w:pPr>
              <w:pStyle w:val="-1"/>
              <w:spacing w:before="0" w:after="0" w:line="240" w:lineRule="auto"/>
              <w:jc w:val="center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rPr>
          <w:tblHeader w:val="true"/>
        </w:trPr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8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  <w:r/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>
        <w:t>РАБОТУ ВЫПОЛНИЛ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rPr>
          <w:tblHeader w:val="true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  <w:r>
              <w:rPr>
                <w:rFonts w:ascii="Times New Roman" w:hAnsi="Times New Roman"/>
                <w:b/>
                <w:sz w:val="22"/>
              </w:rPr>
              <w:t xml:space="preserve">Студент гр.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 w:before="0" w:after="0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center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spacing w:before="0" w:after="0" w:line="240" w:lineRule="auto"/>
              <w:jc w:val="left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b w:val="0"/>
                <w:sz w:val="22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D73871" w:rsidRDefault="00181D04">
      <w:pPr>
        <w:pStyle w:val="af8"/>
      </w:pPr>
      <w:r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ВВЕДЕНИЕ</w:t>
        <w:tab/>
        <w:t>3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1 Сведения о работе и проекте</w:t>
        <w:tab/>
        <w:t>4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2 Постановка задачи и обследование</w:t>
        <w:tab/>
        <w:t>5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3 Выполнение работы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Требования рассматриваемого участка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Управление изменением</w:t>
        <w:tab/>
        <w:t>6</w:t>
      </w:r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Замечания оппонентов и принятые решения</w:t>
        <w:tab/>
        <w:t>6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 Проверка результатов</w:t>
        <w:tab/>
        <w:t>9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5 Индивидуальный вклад и взаимодействие</w:t>
        <w:tab/>
        <w:t>10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ЗАКЛЮЧЕНИЕ</w:t>
        <w:tab/>
        <w:t>11</w:t>
      </w:r>
    </w:p>
    <w:p w:rsidR="00D73871" w:rsidRDefault="00181D04">
      <w:pPr>
        <w:ind w:firstLine="0"/>
      </w:pPr>
      <w:r/>
    </w:p>
    <w:p w:rsidR="00D73871" w:rsidRDefault="00181D04">
      <w:pPr>
        <w:pStyle w:val="af9"/>
      </w:pPr>
      <w:r>
        <w:t>ВВЕДЕНИЕ</w:t>
      </w:r>
    </w:p>
    <w:p w:rsidR="00D73871" w:rsidRDefault="00181D04">
      <w:r>
        <w:t>Цель работы: проверить соответствие реализации модуля TargetReadback требованиям, тестам и ограничениям проекта.</w:t>
      </w:r>
    </w:p>
    <w:p w:rsidR="00D73871" w:rsidRDefault="00181D04">
      <w:r>
        <w:t>Задача на рассматриваемом участке проекта: сопоставить требования, изменения в PR и результаты автоматических проверок.</w:t>
      </w:r>
    </w:p>
    <w:p w:rsidR="00D73871" w:rsidRDefault="00181D04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D73871" w:rsidRDefault="00181D04">
      <w:pPr>
        <w:pStyle w:val="af7"/>
      </w:pPr>
      <w:r>
        <w:t>1 Сведения о работе и проекте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ФИО, группа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Дмитрий Стацюк, группа не указана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Проект и команда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HitPipe; Delivery - Destination Integrations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Индивидуальный участок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TargetReadback / services/delivery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Репозиторий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https://github.com/hitpipe/hitpipe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Тег сдачи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Вариант выполнения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bafc97a0eb5cc2b2aba68c04a74b179b61432d82; correction PR #29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Версия и commit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Human/Lead-controlled capture → bafc97a0eb5cc2b2aba68c04a74b179b61432d82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Источник формы</w:t>
            </w:r>
          </w:p>
        </w:tc>
        <w:tc>
          <w:tcPr>
            <w:tcW w:type="dxa" w:w="467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Исходный преподавательский шаблон МДК03.02 ПР1; минимальные дополнения под актуальную методичку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pPr>
        <w:pStyle w:val="af7"/>
      </w:pPr>
      <w:r>
        <w:t>2 Постановка задачи и обследование</w:t>
      </w:r>
    </w:p>
    <w:p w:rsidR="00D73871" w:rsidRDefault="00181D04">
      <w:r>
        <w:t>Пользователь и полезный сценарий: разработчик или проверяющий получает подтверждённое состояние задачи без ложного match; сценарий — безопасная offline-проверка сохранённого наблюдения.</w:t>
      </w:r>
    </w:p>
    <w:p w:rsidR="00D73871" w:rsidRDefault="00181D04">
      <w:r>
        <w:t>Постановка задачи: реализовать сравнение ожидаемых и фактически сохранённых атрибутов с результатами match, mismatch, incomplete и unknown.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1 — Требование, задача и запрос на слияние]</w:t>
            </w:r>
          </w:p>
        </w:tc>
      </w:tr>
    </w:tbl>
    <w:p>
      <w:pPr>
        <w:spacing w:before="40" w:after="160"/>
        <w:jc w:val="center"/>
      </w:pPr>
      <w:r>
        <w:t>Рисунок 1 — Требование, задача и запрос на слияние</w:t>
      </w:r>
    </w:p>
    <w:p w:rsidR="00D73871" w:rsidRDefault="00181D04">
      <w:r>
        <w:t>Источник сведений: Материалы H1 оформляются отдельно.; реальная дата и участники Проверка по H1 выполняется отдельно.; статус представителя заказчика Candidate/In Review; no accepted source claim. Неполученные ответы остаются открытыми вопросами; исследовательские документы не подменяют проведённый разговор.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2 — Вопрос обследования / Полученный ответ и источник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59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Вопрос обследования</w:t>
            </w:r>
          </w:p>
        </w:tc>
        <w:tc>
          <w:tcPr>
            <w:tcW w:w="337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Полученный ответ и источник</w:t>
            </w:r>
          </w:p>
        </w:tc>
        <w:tc>
          <w:tcPr>
            <w:tcW w:w="337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Desk-research questions</w:t>
            </w:r>
          </w:p>
        </w:tc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Source: locked HP-VER-001/formal DeliveryIntent, ObservedTaskAttributes, TaskObservation; no live interview</w:t>
            </w:r>
          </w:p>
        </w:tc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Open human action: conduct real interview and attach date/participants/answers; do not treat desk research as interview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Подтверждённые условия: требования FR-1–FR-4, NFR-2 и контракт T/013. Предположения: проверяется offline-срез с сохранёнными данными. Открытые вопросы, ответственные: live-права провайдера и человеческая приёмка остаются за рамками этой работы.</w:t>
      </w:r>
    </w:p>
    <w:p w:rsidR="00D73871" w:rsidRDefault="00181D04">
      <w:r>
        <w:t>Связь с MVP: модуль даёт безопасный результат проверки задачи и не подтверждает действие только по отсутствию данных.</w:t>
      </w:r>
    </w:p>
    <w:p w:rsidR="00D73871" w:rsidRDefault="00181D04">
      <w:r>
        <w:t>Общие материалы: requirements.md, security-baseline.md, module-contract.md, module-map.md, PR #29 и журналы evidence.</w:t>
      </w:r>
    </w:p>
    <w:p w:rsidR="00D73871" w:rsidRDefault="00181D04">
      <w:pPr>
        <w:pStyle w:val="af7"/>
      </w:pPr>
      <w:r>
        <w:t>3 Выполнение работы</w:t>
      </w:r>
    </w:p>
    <w:p w:rsidR="00D73871" w:rsidRDefault="00181D04">
      <w:pPr>
        <w:pStyle w:val="afa"/>
      </w:pPr>
      <w:r>
        <w:t>Требования рассматриваемого участка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086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ID</w:t>
            </w:r>
          </w:p>
        </w:tc>
        <w:tc>
          <w:tcPr>
            <w:tcW w:w="1670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</w:t>
            </w:r>
          </w:p>
        </w:tc>
        <w:tc>
          <w:tcPr>
            <w:tcW w:w="1670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Основание</w:t>
            </w:r>
          </w:p>
        </w:tc>
        <w:tc>
          <w:tcPr>
            <w:tcW w:w="1086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MVP</w:t>
            </w:r>
          </w:p>
        </w:tc>
        <w:tc>
          <w:tcPr>
            <w:tcW w:w="2172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Проверка</w:t>
            </w:r>
          </w:p>
        </w:tc>
        <w:tc>
          <w:tcPr>
            <w:tcW w:w="1670" w:type="dxa"/>
            <w:shd w:val="clear" w:color="auto" w:fill="F2F2F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Статус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FR-1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Workspace/list/title/assignee/handoff/context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 FR-1</w:t>
            </w:r>
          </w:p>
        </w:tc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w="21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test; PASS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Готово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FR-2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Один канонический handoff и маркеры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 FR-2</w:t>
            </w:r>
          </w:p>
        </w:tc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w="21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regression suite; PASS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Готово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NFR-2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Лимиты JCS и rendered block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 NFR-2</w:t>
            </w:r>
          </w:p>
        </w:tc>
        <w:tc>
          <w:tcPr>
            <w:tcW w:w="1086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Да</w:t>
            </w:r>
          </w:p>
        </w:tc>
        <w:tc>
          <w:tcPr>
            <w:tcW w:w="2172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boundary test; PASS</w:t>
            </w:r>
          </w:p>
        </w:tc>
        <w:tc>
          <w:tcPr>
            <w:tcW w:w="1670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Готово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Исходные данные и подготовка состояния: сохранённые JSON-наблюдения, fixtures и тестовые адаптеры; перед проверкой выполняются go test, go vet и smoke.</w:t>
      </w:r>
    </w:p>
    <w:p w:rsidR="00D73871" w:rsidRDefault="00181D04">
      <w:r>
        <w:t>Ранние риски и ограничения: защищаемые данные/ресурсы; источник недоверенного ввода; права на существенные действия; реалистичный ущерб; хранение секретов и запрещённые записи в журнал. Для каждого дать ответ по своему участку. Учебный режим не зависит от личных доступов.</w:t>
      </w:r>
    </w:p>
    <w:p w:rsidR="00D73871" w:rsidRDefault="00181D04">
      <w:pPr>
        <w:pStyle w:val="afa"/>
      </w:pPr>
      <w:r>
        <w:t>Управление изменением</w:t>
      </w:r>
    </w:p>
    <w:p w:rsidR="00D73871" w:rsidRDefault="00181D04">
      <w:r>
        <w:t>Причина и задача: устранить ложные подтверждения и проверить границы контракта. Ссылка на изменение: https://github.com/hitpipe/hitpipe/pull/29.</w:t>
      </w:r>
    </w:p>
    <w:p w:rsidR="00D73871" w:rsidRDefault="00181D04">
      <w:r>
        <w:t>Применение DoD: требования сопоставлены с тестами, мутации обнаружены, исходный код восстановлен, журналы и ограничения сохранены.</w:t>
      </w:r>
    </w:p>
    <w:p w:rsidR="00D73871" w:rsidRDefault="00181D04">
      <w:r>
        <w:t>Значимость и review: результаты предназначены для повторной проверки; PR #29 остаётся открытым, merge и approve не выполнялись.</w:t>
      </w:r>
    </w:p>
    <w:p w:rsidR="00D73871" w:rsidRDefault="00181D04">
      <w:r>
        <w:t>Результаты оппонирования ДРУГОГО проекта: Проверка по H1 выполняется отдельно., назначение по кольцу преподавателя Проверка по H1 выполняется отдельно., рассмотренная версия и ссылка на протокол Материалы H1 оформляются отдельно.. Указать собственный разбор чужих требований и реальные решения по замечаниям к своим. Внутреннее review команды эту процедуру не заменяет.</w:t>
      </w:r>
    </w:p>
    <w:p w:rsidR="00D73871" w:rsidRDefault="00181D04">
      <w:pPr>
        <w:pStyle w:val="afa"/>
      </w:pPr>
      <w:r>
        <w:t>Замечания оппонентов и принятые решения</w:t>
      </w:r>
    </w:p>
    <w:p w:rsidR="00D73871" w:rsidRDefault="00181D04">
      <w:r>
        <w:t>Таблица 4 предназначена для фиксации результатов рассмотрения требований другими участниками или соседней командой. Одна строка соответствует одному содержательному замечанию по индивидуальному участку. Для каждого замечания необходимо проследить связь «обнаруженная проблема → решение → изменение или обоснованный отказ → подтверждение».</w:t>
      </w:r>
    </w:p>
    <w:p w:rsidR="00D73871" w:rsidRDefault="00181D04">
      <w:r>
        <w:t>Порядок заполнения граф: сначала фиксируются требование и риск, затем ожидаемый результат, команда проверки, фактический результат и ссылка на журнал.</w:t>
      </w:r>
    </w:p>
    <w:p w:rsidR="00D73871" w:rsidRDefault="00181D04">
      <w:pPr>
        <w:ind w:left="709" w:hanging="340"/>
      </w:pPr>
      <w:r>
        <w:t>1) Замечание и объект рассмотрения. Указать идентификатор замечания, автора или команду-оппонента, дату обсуждения и конкретный объект: ID требования, критерий приёмки, пункт MVP, ограничение или раздел инструкции. Сформулировать обнаруженную неоднозначность, неполноту или риск и пояснить возможное последствие. Формулировка «уточнить требование» должна сопровождаться указанием того, что именно допускает разные толкования.</w:t>
      </w:r>
    </w:p>
    <w:p w:rsidR="00D73871" w:rsidRDefault="00181D04">
      <w:pPr>
        <w:ind w:left="709" w:hanging="340"/>
      </w:pPr>
      <w:r>
        <w:t>2) Решение и обоснование. Указать статус рассмотрения: «Принято», «Принято частично», «Отклонено» или «Требует уточнения». Объяснить основание решения: потребность пользователя, проверяемость, согласованные границы MVP, ограничение среды или выполнимость. Для частичного принятия разграничить принятую и отклонённую части. Для открытого вопроса определить ответственного и срок уточнения; существенный вопрос, блокирующий основной сценарий, разрешить до фиксации baseline.</w:t>
      </w:r>
    </w:p>
    <w:p w:rsidR="00D73871" w:rsidRDefault="00181D04">
      <w:pPr>
        <w:ind w:left="709" w:hanging="340"/>
      </w:pPr>
      <w:r>
        <w:t>3) Изменение и подтверждение. Указать, что именно изменяется или сохраняется: формулировка требования, критерий, состав MVP, инструкция или способ подготовки данных. Привести ID и раздел документа, ссылку на обсуждение и PR/MR, а после внесения изменения — версию документа или commit. Различать планируемое исправление и выполненное: намерение исправить не является подтверждением внесённого изменения. При отклонении привести ссылку на зафиксированное обоснование.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337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Замечание и объект рассмотрения</w:t>
            </w:r>
          </w:p>
        </w:tc>
        <w:tc>
          <w:tcPr>
            <w:tcW w:w="259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Решение и обоснование</w:t>
            </w:r>
          </w:p>
        </w:tc>
        <w:tc>
          <w:tcPr>
            <w:tcW w:w="3378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DS-REV-003 JSON boundary</w:t>
            </w:r>
          </w:p>
        </w:tc>
        <w:tc>
          <w:tcPr>
            <w:tcW w:w="259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lexical structure, duplicate/exact keys, EOF and surrogate pairing</w:t>
            </w:r>
          </w:p>
        </w:tc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fixtures.go + review_regressions_test.go + go test log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DS-REV-001/004 handoff/control/budget</w:t>
            </w:r>
          </w:p>
        </w:tc>
        <w:tc>
          <w:tcPr>
            <w:tcW w:w="259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Canonical T013 labels, UUID, markers, controls and escaped-byte budgets</w:t>
            </w:r>
          </w:p>
        </w:tc>
        <w:tc>
          <w:tcPr>
            <w:tcW w:w="3378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readback.go + tests + requirements.md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Количество строк определяется фактическими замечаниями. При отсутствии замечаний указать рассмотренные требования, участников обсуждения и результат проверки их однозначности и проверяемости. Искусственное формирование замечаний не требуется. Пример заполнения приведён в приложении А методических указаний.</w:t>
      </w:r>
    </w:p>
    <w:p w:rsidR="00D73871" w:rsidRDefault="00181D04">
      <w:r>
        <w:t>Обязательный рисунок 3: реальное обсуждение оппонирования; точная инструкция приведена в приложении этого шаблона. Таблица решений остаётся текстом. Замечания не придумывать; при их отсутствии зафиксировать участников, рассмотренные требования и фактический результат проверки.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2 — Автоматические проверки изменения требований]</w:t>
            </w:r>
          </w:p>
        </w:tc>
      </w:tr>
    </w:tbl>
    <w:p>
      <w:pPr>
        <w:spacing w:before="40" w:after="160"/>
        <w:jc w:val="center"/>
      </w:pPr>
      <w:r>
        <w:t>Рисунок 2 — Автоматические проверки изменения требований</w:t>
      </w:r>
    </w:p>
    <w:p>
      <w:pPr>
        <w:pStyle w:val="2"/>
      </w:pPr>
      <w:r>
        <w:t>3.1 Подробное ревью работы Никиты Будыкина</w:t>
      </w:r>
    </w:p>
    <w:p>
      <w:r>
        <w:t>В рамках оппонирования рассмотрена работа Никиты Будыкина по модулю Intake / StripeSignature: задачи HIT-49–HIT-56, кодовые PR №31–33 и пакет отчётов PR №34. Проверка выполнена по опубликованным изменениям и повторному ревью PR №36. Ревью не является личной аттестацией студента и не заменяет преподавательскую приёмку.</w:t>
      </w:r>
    </w:p>
    <w:p>
      <w:r>
        <w:t>Сильные стороны работы. В кодовой части реализована проверка подписи Stripe по исходным байтам тела запроса, предусмотрены безопасные результаты отказа, тестовые fixtures и сменные зависимости для секрета и часов. В зафиксированных запусках прошли именованные тесты, go vet, race-проверка, dev/release smoke и четыре независимых HMAC-вектора. Также были проверены границы свежести 299/300/301 секунд и сценарии повреждённого тела. Эти результаты подтверждают техническую основу модуля, но не доказывают наличие live Stripe-доставки, durable receipt, 2xx-приёма или формальной приёмки проекта.</w:t>
      </w:r>
    </w:p>
    <w:p>
      <w:r>
        <w:t>Найденные замечания. Повторное ревью PR №36 сохранило статус CHANGES_REQUIRED. Ниже приведены только конкретные замечания, имеющие привязку к файлу, проверке или статусу артефакта.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№</w:t>
            </w:r>
          </w:p>
        </w:tc>
        <w:tc>
          <w:tcPr>
            <w:tcW w:type="dxa" w:w="2339"/>
          </w:tcPr>
          <w:p>
            <w:r>
              <w:t>Что проверено</w:t>
            </w:r>
          </w:p>
        </w:tc>
        <w:tc>
          <w:tcPr>
            <w:tcW w:type="dxa" w:w="2339"/>
          </w:tcPr>
          <w:p>
            <w:r>
              <w:t>Результат ревью</w:t>
            </w:r>
          </w:p>
        </w:tc>
        <w:tc>
          <w:tcPr>
            <w:tcW w:type="dxa" w:w="2339"/>
          </w:tcPr>
          <w:p>
            <w:r>
              <w:t>Что требуется сделать</w:t>
            </w:r>
          </w:p>
        </w:tc>
      </w:tr>
      <w:tr>
        <w:tc>
          <w:tcPr>
            <w:tcW w:type="dxa" w:w="2339"/>
          </w:tcPr>
          <w:p>
            <w:r>
              <w:t>1</w:t>
            </w:r>
          </w:p>
        </w:tc>
        <w:tc>
          <w:tcPr>
            <w:tcW w:type="dxa" w:w="2339"/>
          </w:tcPr>
          <w:p>
            <w:r>
              <w:t>Отчёты 0104-ПР1</w:t>
            </w:r>
          </w:p>
        </w:tc>
        <w:tc>
          <w:tcPr>
            <w:tcW w:type="dxa" w:w="2339"/>
          </w:tcPr>
          <w:p>
            <w:r>
              <w:t>В таблице dev/release оставлены общие значения NOT RUN/PASS вместо конкретных команд, путей, SHA и фактических итогов.</w:t>
            </w:r>
          </w:p>
        </w:tc>
        <w:tc>
          <w:tcPr>
            <w:tcW w:type="dxa" w:w="2339"/>
          </w:tcPr>
          <w:p>
            <w:r>
              <w:t>Заполнить каждую строку реальными результатами и отделить выполненное от планируемого.</w:t>
            </w:r>
          </w:p>
        </w:tc>
      </w:tr>
      <w:tr>
        <w:tc>
          <w:tcPr>
            <w:tcW w:type="dxa" w:w="2339"/>
          </w:tcPr>
          <w:p>
            <w:r>
              <w:t>2</w:t>
            </w:r>
          </w:p>
        </w:tc>
        <w:tc>
          <w:tcPr>
            <w:tcW w:type="dxa" w:w="2339"/>
          </w:tcPr>
          <w:p>
            <w:r>
              <w:t>Отчёт 0302-ПР1</w:t>
            </w:r>
          </w:p>
        </w:tc>
        <w:tc>
          <w:tcPr>
            <w:tcW w:type="dxa" w:w="2339"/>
          </w:tcPr>
          <w:p>
            <w:r>
              <w:t>Строка технических результатов осталась пустой; читателю не видно, какие проверки реально выполнены.</w:t>
            </w:r>
          </w:p>
        </w:tc>
        <w:tc>
          <w:tcPr>
            <w:tcW w:type="dxa" w:w="2339"/>
          </w:tcPr>
          <w:p>
            <w:r>
              <w:t>Добавить команды, exit code, журналы и ограничения для каждой проверки.</w:t>
            </w:r>
          </w:p>
        </w:tc>
      </w:tr>
      <w:tr>
        <w:tc>
          <w:tcPr>
            <w:tcW w:type="dxa" w:w="2339"/>
          </w:tcPr>
          <w:p>
            <w:r>
              <w:t>3</w:t>
            </w:r>
          </w:p>
        </w:tc>
        <w:tc>
          <w:tcPr>
            <w:tcW w:type="dxa" w:w="2339"/>
          </w:tcPr>
          <w:p>
            <w:r>
              <w:t>Трассировка требований</w:t>
            </w:r>
          </w:p>
        </w:tc>
        <w:tc>
          <w:tcPr>
            <w:tcW w:type="dxa" w:w="2339"/>
          </w:tcPr>
          <w:p>
            <w:r>
              <w:t>В DOCX сохранились ссылки FR-SIG-03/NFR-SIG-01 на BP007/T010, хотя исправленный JSON уже указывает безопасные ошибки и privacy-ограничения по другим пунктам.</w:t>
            </w:r>
          </w:p>
        </w:tc>
        <w:tc>
          <w:tcPr>
            <w:tcW w:type="dxa" w:w="2339"/>
          </w:tcPr>
          <w:p>
            <w:r>
              <w:t>Синхронизировать DOCX, JSON-трассировку и таблицы требований; не оставлять противоречащие ссылки.</w:t>
            </w:r>
          </w:p>
        </w:tc>
      </w:tr>
      <w:tr>
        <w:tc>
          <w:tcPr>
            <w:tcW w:type="dxa" w:w="2339"/>
          </w:tcPr>
          <w:p>
            <w:r>
              <w:t>4</w:t>
            </w:r>
          </w:p>
        </w:tc>
        <w:tc>
          <w:tcPr>
            <w:tcW w:type="dxa" w:w="2339"/>
          </w:tcPr>
          <w:p>
            <w:r>
              <w:t>Статус человеческих ворот</w:t>
            </w:r>
          </w:p>
        </w:tc>
        <w:tc>
          <w:tcPr>
            <w:tcW w:type="dxa" w:w="2339"/>
          </w:tcPr>
          <w:p>
            <w:r>
              <w:t>В 0302-ПР1 часть проверки обозначена как human-gated, хотя для неё зафиксирован gate=none; это меняет смысл результата.</w:t>
            </w:r>
          </w:p>
        </w:tc>
        <w:tc>
          <w:tcPr>
            <w:tcW w:type="dxa" w:w="2339"/>
          </w:tcPr>
          <w:p>
            <w:r>
              <w:t>Исправить статус на фактический и отдельно указать только реально ожидаемые действия человека.</w:t>
            </w:r>
          </w:p>
        </w:tc>
      </w:tr>
      <w:tr>
        <w:tc>
          <w:tcPr>
            <w:tcW w:type="dxa" w:w="2339"/>
          </w:tcPr>
          <w:p>
            <w:r>
              <w:t>5</w:t>
            </w:r>
          </w:p>
        </w:tc>
        <w:tc>
          <w:tcPr>
            <w:tcW w:type="dxa" w:w="2339"/>
          </w:tcPr>
          <w:p>
            <w:r>
              <w:t>Инструкции скриншотов</w:t>
            </w:r>
          </w:p>
        </w:tc>
        <w:tc>
          <w:tcPr>
            <w:tcW w:type="dxa" w:w="2339"/>
          </w:tcPr>
          <w:p>
            <w:r>
              <w:t>В инструкции 0104-ПР1-05 команда содержала текстовое пояснение внутри argv, из-за чего воспроизведение давало синтаксическую ошибку; cwd и пути к binary/fixture также были неточными.</w:t>
            </w:r>
          </w:p>
        </w:tc>
        <w:tc>
          <w:tcPr>
            <w:tcW w:type="dxa" w:w="2339"/>
          </w:tcPr>
          <w:p>
            <w:r>
              <w:t>Оставить в команде только исполняемые аргументы, явно указать настоящий cwd и доступные полные SHA.</w:t>
            </w:r>
          </w:p>
        </w:tc>
      </w:tr>
      <w:tr>
        <w:tc>
          <w:tcPr>
            <w:tcW w:type="dxa" w:w="2339"/>
          </w:tcPr>
          <w:p>
            <w:r>
              <w:t>6</w:t>
            </w:r>
          </w:p>
        </w:tc>
        <w:tc>
          <w:tcPr>
            <w:tcW w:type="dxa" w:w="2339"/>
          </w:tcPr>
          <w:p>
            <w:r>
              <w:t>Трассировка задач и mutation evidence</w:t>
            </w:r>
          </w:p>
        </w:tc>
        <w:tc>
          <w:tcPr>
            <w:tcW w:type="dxa" w:w="2339"/>
          </w:tcPr>
          <w:p>
            <w:r>
              <w:t>Не хватало прямых mappings для HIT-49/HIT-50/HIT-54/HIT-55; mutation evidence требовало обновления под текущий исходный код.</w:t>
            </w:r>
          </w:p>
        </w:tc>
        <w:tc>
          <w:tcPr>
            <w:tcW w:type="dxa" w:w="2339"/>
          </w:tcPr>
          <w:p>
            <w:r>
              <w:t>Добавить task→branch→PR→commit→test→evidence и повторить мутации на том же source SHA.</w:t>
            </w:r>
          </w:p>
        </w:tc>
      </w:tr>
    </w:tbl>
    <w:p>
      <w:r>
        <w:t>Решение по результатам ревью. Работа содержит существенную техническую основу и воспроизводимые положительные проверки, однако пакет нельзя считать готовым к приёмке из-за несогласованности отчётов, неполных технических таблиц, ошибочных команд воспроизведения и неполной трассировки. Итоговый статус — CHANGES_REQUIRED. Для повторного рассмотрения нужны исправленные DOCX/JSON, актуальный журнал мутаций, доступные SHA и повторная проверка всех затронутых инструкций.</w:t>
      </w:r>
    </w:p>
    <w:p>
      <w:r>
        <w:t>Источники ревью: PR №31 — https://github.com/hitpipe/hitpipe/pull/31; PR №32 — https://github.com/hitpipe/hitpipe/pull/32; PR №33 — https://github.com/hitpipe/hitpipe/pull/33; пакет отчётов PR №34 — https://github.com/hitpipe/hitpipe/pull/34; повторное ревью PR №36 — https://github.com/hitpipe/hitpipe/pull/36.</w:t>
      </w:r>
    </w:p>
    <w:p>
      <w:pPr>
        <w:pStyle w:val="2"/>
      </w:pPr>
      <w:r>
        <w:t>3.2 Оценка технического вклада Никиты Будыкина</w:t>
      </w:r>
    </w:p>
    <w:p>
      <w:r>
        <w:t>Проверены доступные авторские PR Никиты в репозитории hitpipe/hitpipe: №31 (HIT-51, StripeSignature), №32 (HIT-52, AuthenticateWebhook), №33 (HIT-53, timestamp verification и mutation evidence), №37 (HIT-49, requirements baseline), №38 (HIT-50, requirement refinement), №39 (HIT-54, toolchain) и №40 (HIT-55, human-gate handoff). Оценка ниже относится к опубликованным артефактам, а не к устному рассказу или неподтверждённому участию.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Направление</w:t>
            </w:r>
          </w:p>
        </w:tc>
        <w:tc>
          <w:tcPr>
            <w:tcW w:type="dxa" w:w="2339"/>
          </w:tcPr>
          <w:p>
            <w:r>
              <w:t>Статус</w:t>
            </w:r>
          </w:p>
        </w:tc>
        <w:tc>
          <w:tcPr>
            <w:tcW w:type="dxa" w:w="2339"/>
          </w:tcPr>
          <w:p>
            <w:r>
              <w:t>Подтверждение</w:t>
            </w:r>
          </w:p>
        </w:tc>
        <w:tc>
          <w:tcPr>
            <w:tcW w:type="dxa" w:w="2339"/>
          </w:tcPr>
          <w:p>
            <w:r>
              <w:t>Вывод</w:t>
            </w:r>
          </w:p>
        </w:tc>
      </w:tr>
      <w:tr>
        <w:tc>
          <w:tcPr>
            <w:tcW w:type="dxa" w:w="2339"/>
          </w:tcPr>
          <w:p>
            <w:r>
              <w:t>Качество кода и тестов</w:t>
            </w:r>
          </w:p>
        </w:tc>
        <w:tc>
          <w:tcPr>
            <w:tcW w:type="dxa" w:w="2339"/>
          </w:tcPr>
          <w:p>
            <w:r>
              <w:t>Pass / Partial</w:t>
            </w:r>
          </w:p>
        </w:tc>
        <w:tc>
          <w:tcPr>
            <w:tcW w:type="dxa" w:w="2339"/>
          </w:tcPr>
          <w:p>
            <w:r>
              <w:t>PR31 содержит verifier и тесты; PR32 — consumer, порты, adapters и application tests; PR33 — boundary tests и mutation protocol.</w:t>
            </w:r>
          </w:p>
        </w:tc>
        <w:tc>
          <w:tcPr>
            <w:tcW w:type="dxa" w:w="2339"/>
          </w:tcPr>
          <w:p>
            <w:r>
              <w:t>Техническая основа воспроизводима. Полная приёмка ограничена статусом PR In Review и замечаниями к отчётам/evidence.</w:t>
            </w:r>
          </w:p>
        </w:tc>
      </w:tr>
      <w:tr>
        <w:tc>
          <w:tcPr>
            <w:tcW w:type="dxa" w:w="2339"/>
          </w:tcPr>
          <w:p>
            <w:r>
              <w:t>Архитектурные решения</w:t>
            </w:r>
          </w:p>
        </w:tc>
        <w:tc>
          <w:tcPr>
            <w:tcW w:type="dxa" w:w="2339"/>
          </w:tcPr>
          <w:p>
            <w:r>
              <w:t>Partial</w:t>
            </w:r>
          </w:p>
        </w:tc>
        <w:tc>
          <w:tcPr>
            <w:tcW w:type="dxa" w:w="2339"/>
          </w:tcPr>
          <w:p>
            <w:r>
              <w:t>В PR32 есть module-map.md, module-adr.md и complexity-profile.md для Intake.</w:t>
            </w:r>
          </w:p>
        </w:tc>
        <w:tc>
          <w:tcPr>
            <w:tcW w:type="dxa" w:w="2339"/>
          </w:tcPr>
          <w:p>
            <w:r>
              <w:t>Локальная граница модуля обоснована. Отдельного авторского сравнения NATS/Kafka с критериями и измерениями не найдено; канонический HP-ADR-002 рассматривает broker как не нужный для MVP без измеренного основания.</w:t>
            </w:r>
          </w:p>
        </w:tc>
      </w:tr>
      <w:tr>
        <w:tc>
          <w:tcPr>
            <w:tcW w:type="dxa" w:w="2339"/>
          </w:tcPr>
          <w:p>
            <w:r>
              <w:t>Технические эксперименты HIT-8</w:t>
            </w:r>
          </w:p>
        </w:tc>
        <w:tc>
          <w:tcPr>
            <w:tcW w:type="dxa" w:w="2339"/>
          </w:tcPr>
          <w:p>
            <w:r>
              <w:t>Fail / evidence not found</w:t>
            </w:r>
          </w:p>
        </w:tc>
        <w:tc>
          <w:tcPr>
            <w:tcW w:type="dxa" w:w="2339"/>
          </w:tcPr>
          <w:p>
            <w:r>
              <w:t>В проверенных PR и ветках Никиты нет отдельного артефакта HIT-8, PoC или отчёта эксперимента, который можно связать с его авторством.</w:t>
            </w:r>
          </w:p>
        </w:tc>
        <w:tc>
          <w:tcPr>
            <w:tcW w:type="dxa" w:w="2339"/>
          </w:tcPr>
          <w:p>
            <w:r>
              <w:t>Участие в HIT-8 нельзя засчитать без ссылки на конкретный PR, commit или отчёт.</w:t>
            </w:r>
          </w:p>
        </w:tc>
      </w:tr>
      <w:tr>
        <w:tc>
          <w:tcPr>
            <w:tcW w:type="dxa" w:w="2339"/>
          </w:tcPr>
          <w:p>
            <w:r>
              <w:t>Code review коллег</w:t>
            </w:r>
          </w:p>
        </w:tc>
        <w:tc>
          <w:tcPr>
            <w:tcW w:type="dxa" w:w="2339"/>
          </w:tcPr>
          <w:p>
            <w:r>
              <w:t>Not confirmed</w:t>
            </w:r>
          </w:p>
        </w:tc>
        <w:tc>
          <w:tcPr>
            <w:tcW w:type="dxa" w:w="2339"/>
          </w:tcPr>
          <w:p>
            <w:r>
              <w:t>В доступном наборе PR найдены авторские PR Никиты и ревью PR №36 о его пакете; подтверждённых review Никиты чужих PR не найдено.</w:t>
            </w:r>
          </w:p>
        </w:tc>
        <w:tc>
          <w:tcPr>
            <w:tcW w:type="dxa" w:w="2339"/>
          </w:tcPr>
          <w:p>
            <w:r>
              <w:t>Качество замечаний Никиты коллегам по доступным данным оценить нельзя.</w:t>
            </w:r>
          </w:p>
        </w:tc>
      </w:tr>
      <w:tr>
        <w:tc>
          <w:tcPr>
            <w:tcW w:type="dxa" w:w="2339"/>
          </w:tcPr>
          <w:p>
            <w:r>
              <w:t>Документирование</w:t>
            </w:r>
          </w:p>
        </w:tc>
        <w:tc>
          <w:tcPr>
            <w:tcW w:type="dxa" w:w="2339"/>
          </w:tcPr>
          <w:p>
            <w:r>
              <w:t>Pass / Partial</w:t>
            </w:r>
          </w:p>
        </w:tc>
        <w:tc>
          <w:tcPr>
            <w:tcW w:type="dxa" w:w="2339"/>
          </w:tcPr>
          <w:p>
            <w:r>
              <w:t>PR31–33 добавляют module-contract, README, test-design, coverage/risk/mutation документы; PR37–40 добавляют requirements, refinement, toolchain и human-gate документы.</w:t>
            </w:r>
          </w:p>
        </w:tc>
        <w:tc>
          <w:tcPr>
            <w:tcW w:type="dxa" w:w="2339"/>
          </w:tcPr>
          <w:p>
            <w:r>
              <w:t>Документационный объём значительный, но PR36 выявил несогласованности DOCX/JSON, пустые технические таблицы и неточные команды.</w:t>
            </w:r>
          </w:p>
        </w:tc>
      </w:tr>
    </w:tbl>
    <w:p>
      <w:r>
        <w:t>Итог блока 1: технический вклад подтверждён по модулю Intake и связанным проверкам, но общий зачёт — «на доработку». Для зачёта заявленного общего вклада нужны отдельные артефакты HIT-8, подтверждение архитектурного сравнения брокеров и реальные записи code review коллег.</w:t>
      </w:r>
    </w:p>
    <w:p>
      <w:pPr>
        <w:pStyle w:val="2"/>
      </w:pPr>
      <w:r>
        <w:t>3.3 Оценка влияния на каркас проекта</w:t>
      </w:r>
    </w:p>
    <w:p>
      <w:r>
        <w:t>Проверка каркаса выполнена по изменённым файлам PR №31–33 и сопутствующим PR №37–40. Результат не расширяет область авторства Никиты за пределы фактически изменённых путей.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Область каркаса</w:t>
            </w:r>
          </w:p>
        </w:tc>
        <w:tc>
          <w:tcPr>
            <w:tcW w:type="dxa" w:w="2339"/>
          </w:tcPr>
          <w:p>
            <w:r>
              <w:t>Статус</w:t>
            </w:r>
          </w:p>
        </w:tc>
        <w:tc>
          <w:tcPr>
            <w:tcW w:type="dxa" w:w="2339"/>
          </w:tcPr>
          <w:p>
            <w:r>
              <w:t>Фактическое свидетельство</w:t>
            </w:r>
          </w:p>
        </w:tc>
        <w:tc>
          <w:tcPr>
            <w:tcW w:type="dxa" w:w="2339"/>
          </w:tcPr>
          <w:p>
            <w:r>
              <w:t>Ограничение оценки</w:t>
            </w:r>
          </w:p>
        </w:tc>
      </w:tr>
      <w:tr>
        <w:tc>
          <w:tcPr>
            <w:tcW w:type="dxa" w:w="2339"/>
          </w:tcPr>
          <w:p>
            <w:r>
              <w:t>Backend hitpipe</w:t>
            </w:r>
          </w:p>
        </w:tc>
        <w:tc>
          <w:tcPr>
            <w:tcW w:type="dxa" w:w="2339"/>
          </w:tcPr>
          <w:p>
            <w:r>
              <w:t>Pass / bounded</w:t>
            </w:r>
          </w:p>
        </w:tc>
        <w:tc>
          <w:tcPr>
            <w:tcW w:type="dxa" w:w="2339"/>
          </w:tcPr>
          <w:p>
            <w:r>
              <w:t>Добавлен services/intake: domain StripeSignature, application AuthenticateWebhook, file/in-memory adapters, fixtures и contract-check CLI.</w:t>
            </w:r>
          </w:p>
        </w:tc>
        <w:tc>
          <w:tcPr>
            <w:tcW w:type="dxa" w:w="2339"/>
          </w:tcPr>
          <w:p>
            <w:r>
              <w:t>Это отдельный Intake-контур; доказательств изменений в delivery/processing/iam или полном backend runtime нет.</w:t>
            </w:r>
          </w:p>
        </w:tc>
      </w:tr>
      <w:tr>
        <w:tc>
          <w:tcPr>
            <w:tcW w:type="dxa" w:w="2339"/>
          </w:tcPr>
          <w:p>
            <w:r>
              <w:t>Тестовый слой</w:t>
            </w:r>
          </w:p>
        </w:tc>
        <w:tc>
          <w:tcPr>
            <w:tcW w:type="dxa" w:w="2339"/>
          </w:tcPr>
          <w:p>
            <w:r>
              <w:t>Pass</w:t>
            </w:r>
          </w:p>
        </w:tc>
        <w:tc>
          <w:tcPr>
            <w:tcW w:type="dxa" w:w="2339"/>
          </w:tcPr>
          <w:p>
            <w:r>
              <w:t>verifier_test.go, authenticate_test.go, testdata, coverage-analysis и пять mutation patches/logs.</w:t>
            </w:r>
          </w:p>
        </w:tc>
        <w:tc>
          <w:tcPr>
            <w:tcW w:type="dxa" w:w="2339"/>
          </w:tcPr>
          <w:p>
            <w:r>
              <w:t>Тесты synthetic/offline; live provider, durable receipt и production admission не подтверждены.</w:t>
            </w:r>
          </w:p>
        </w:tc>
      </w:tr>
      <w:tr>
        <w:tc>
          <w:tcPr>
            <w:tcW w:type="dxa" w:w="2339"/>
          </w:tcPr>
          <w:p>
            <w:r>
              <w:t>CI</w:t>
            </w:r>
          </w:p>
        </w:tc>
        <w:tc>
          <w:tcPr>
            <w:tcW w:type="dxa" w:w="2339"/>
          </w:tcPr>
          <w:p>
            <w:r>
              <w:t>Partial</w:t>
            </w:r>
          </w:p>
        </w:tc>
        <w:tc>
          <w:tcPr>
            <w:tcW w:type="dxa" w:w="2339"/>
          </w:tcPr>
          <w:p>
            <w:r>
              <w:t>PR33 добавляет .github/workflows/pr12-nb.yml и CI sensitivity evidence.</w:t>
            </w:r>
          </w:p>
        </w:tc>
        <w:tc>
          <w:tcPr>
            <w:tcW w:type="dxa" w:w="2339"/>
          </w:tcPr>
          <w:p>
            <w:r>
              <w:t>Один workflow не доказывает общую зрелость CI/CD проекта и не заменяет merge/acceptance.</w:t>
            </w:r>
          </w:p>
        </w:tc>
      </w:tr>
      <w:tr>
        <w:tc>
          <w:tcPr>
            <w:tcW w:type="dxa" w:w="2339"/>
          </w:tcPr>
          <w:p>
            <w:r>
              <w:t>Docker, Compose, .air.toml</w:t>
            </w:r>
          </w:p>
        </w:tc>
        <w:tc>
          <w:tcPr>
            <w:tcW w:type="dxa" w:w="2339"/>
          </w:tcPr>
          <w:p>
            <w:r>
              <w:t>Not confirmed</w:t>
            </w:r>
          </w:p>
        </w:tc>
        <w:tc>
          <w:tcPr>
            <w:tcW w:type="dxa" w:w="2339"/>
          </w:tcPr>
          <w:p>
            <w:r>
              <w:t>В списках изменённых файлов PR31–40 такие артефакты Никиты не обнаружены.</w:t>
            </w:r>
          </w:p>
        </w:tc>
        <w:tc>
          <w:tcPr>
            <w:tcW w:type="dxa" w:w="2339"/>
          </w:tcPr>
          <w:p>
            <w:r>
              <w:t>Нельзя приписывать ему инфраструктурные изменения без конкретного файла и commit.</w:t>
            </w:r>
          </w:p>
        </w:tc>
      </w:tr>
      <w:tr>
        <w:tc>
          <w:tcPr>
            <w:tcW w:type="dxa" w:w="2339"/>
          </w:tcPr>
          <w:p>
            <w:r>
              <w:t>Миграции БД и seed-данные</w:t>
            </w:r>
          </w:p>
        </w:tc>
        <w:tc>
          <w:tcPr>
            <w:tcW w:type="dxa" w:w="2339"/>
          </w:tcPr>
          <w:p>
            <w:r>
              <w:t>Not confirmed</w:t>
            </w:r>
          </w:p>
        </w:tc>
        <w:tc>
          <w:tcPr>
            <w:tcW w:type="dxa" w:w="2339"/>
          </w:tcPr>
          <w:p>
            <w:r>
              <w:t>В изменённых файлах PR31–40 миграции и seed-артефакты не обнаружены.</w:t>
            </w:r>
          </w:p>
        </w:tc>
        <w:tc>
          <w:tcPr>
            <w:tcW w:type="dxa" w:w="2339"/>
          </w:tcPr>
          <w:p>
            <w:r>
              <w:t>Intake-пакет не включает durable database ownership или миграционный процесс.</w:t>
            </w:r>
          </w:p>
        </w:tc>
      </w:tr>
      <w:tr>
        <w:tc>
          <w:tcPr>
            <w:tcW w:type="dxa" w:w="2339"/>
          </w:tcPr>
          <w:p>
            <w:r>
              <w:t>Архитектурные артефакты</w:t>
            </w:r>
          </w:p>
        </w:tc>
        <w:tc>
          <w:tcPr>
            <w:tcW w:type="dxa" w:w="2339"/>
          </w:tcPr>
          <w:p>
            <w:r>
              <w:t>Pass / Partial</w:t>
            </w:r>
          </w:p>
        </w:tc>
        <w:tc>
          <w:tcPr>
            <w:tcW w:type="dxa" w:w="2339"/>
          </w:tcPr>
          <w:p>
            <w:r>
              <w:t>Есть module-contract, module-map, module-adr, complexity-profile, requirements и refinement documents.</w:t>
            </w:r>
          </w:p>
        </w:tc>
        <w:tc>
          <w:tcPr>
            <w:tcW w:type="dxa" w:w="2339"/>
          </w:tcPr>
          <w:p>
            <w:r>
              <w:t>Нет подтверждённых авторских диаграмм БД, OpenAPI-изменений или самостоятельного ADR по NATS/Kafka.</w:t>
            </w:r>
          </w:p>
        </w:tc>
      </w:tr>
    </w:tbl>
    <w:p>
      <w:r>
        <w:t>Итог блока 2: влияние на каркас положительное, но ограниченное Intake-модулем, его тестами и CI-маршрутом. Общая оценка — «требует доработки», если заявляется вклад в Docker, БД, брокеры или весь backend без дополнительных ссылок.</w:t>
      </w:r>
    </w:p>
    <w:p>
      <w:pPr>
        <w:pStyle w:val="2"/>
      </w:pPr>
      <w:r>
        <w:t>3.4 Внешнее оппонирование технического вклада</w:t>
      </w:r>
    </w:p>
    <w:p>
      <w:r>
        <w:t>Ниже приведена симуляция вопросов внешнего эксперта. Это не проведённое интервью и не подтверждение личной защиты Никиты. Ответы основаны только на доступных PR и должны быть подтверждены автором на реальном human gate.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Вопрос эксперта</w:t>
            </w:r>
          </w:p>
        </w:tc>
        <w:tc>
          <w:tcPr>
            <w:tcW w:type="dxa" w:w="3118"/>
          </w:tcPr>
          <w:p>
            <w:r>
              <w:t>Что уже видно по артефактам</w:t>
            </w:r>
          </w:p>
        </w:tc>
        <w:tc>
          <w:tcPr>
            <w:tcW w:type="dxa" w:w="3118"/>
          </w:tcPr>
          <w:p>
            <w:r>
              <w:t>Что Никита должен дополнительно показать</w:t>
            </w:r>
          </w:p>
        </w:tc>
      </w:tr>
      <w:tr>
        <w:tc>
          <w:tcPr>
            <w:tcW w:type="dxa" w:w="3118"/>
          </w:tcPr>
          <w:p>
            <w:r>
              <w:t>Какие конкретные эксперименты выполнены по HIT-8? Где отчёты и PoC?</w:t>
            </w:r>
          </w:p>
        </w:tc>
        <w:tc>
          <w:tcPr>
            <w:tcW w:type="dxa" w:w="3118"/>
          </w:tcPr>
          <w:p>
            <w:r>
              <w:t>В PR31–40 отдельный HIT-8-артефакт не найден.</w:t>
            </w:r>
          </w:p>
        </w:tc>
        <w:tc>
          <w:tcPr>
            <w:tcW w:type="dxa" w:w="3118"/>
          </w:tcPr>
          <w:p>
            <w:r>
              <w:t>Ссылку на exact task, branch, commit, журнал запуска и вывод о критериях эксперимента.</w:t>
            </w:r>
          </w:p>
        </w:tc>
      </w:tr>
      <w:tr>
        <w:tc>
          <w:tcPr>
            <w:tcW w:type="dxa" w:w="3118"/>
          </w:tcPr>
          <w:p>
            <w:r>
              <w:t>Почему выбраны NATS/Kafka? Каковы критерии сравнения? Где ADR?</w:t>
            </w:r>
          </w:p>
        </w:tc>
        <w:tc>
          <w:tcPr>
            <w:tcW w:type="dxa" w:w="3118"/>
          </w:tcPr>
          <w:p>
            <w:r>
              <w:t>В доступном пакете есть локальный ADR Intake; канонический HP-ADR-002 говорит, что broker не нужен MVP без измеренного основания.</w:t>
            </w:r>
          </w:p>
        </w:tc>
        <w:tc>
          <w:tcPr>
            <w:tcW w:type="dxa" w:w="3118"/>
          </w:tcPr>
          <w:p>
            <w:r>
              <w:t>Авторское сравнение вариантов, критерии fan-out/replay/latency/операционной стоимости и ссылку на собственный ADR либо явный отказ от решения.</w:t>
            </w:r>
          </w:p>
        </w:tc>
      </w:tr>
      <w:tr>
        <w:tc>
          <w:tcPr>
            <w:tcW w:type="dxa" w:w="3118"/>
          </w:tcPr>
          <w:p>
            <w:r>
              <w:t>Как тестируется асинхронная обработка webhook и повторная доставка?</w:t>
            </w:r>
          </w:p>
        </w:tc>
        <w:tc>
          <w:tcPr>
            <w:tcW w:type="dxa" w:w="3118"/>
          </w:tcPr>
          <w:p>
            <w:r>
              <w:t>Подтверждены raw-body HMAC, freshness, safe reject и mutation tests; live delivery/durable receipt не заявлены.</w:t>
            </w:r>
          </w:p>
        </w:tc>
        <w:tc>
          <w:tcPr>
            <w:tcW w:type="dxa" w:w="3118"/>
          </w:tcPr>
          <w:p>
            <w:r>
              <w:t>Сценарии очереди, повторов, crash до/после ACK, idempotency и доказательство durable boundary.</w:t>
            </w:r>
          </w:p>
        </w:tc>
      </w:tr>
      <w:tr>
        <w:tc>
          <w:tcPr>
            <w:tcW w:type="dxa" w:w="3118"/>
          </w:tcPr>
          <w:p>
            <w:r>
              <w:t>Есть ли бенчмарки производительности и как измеряется latency?</w:t>
            </w:r>
          </w:p>
        </w:tc>
        <w:tc>
          <w:tcPr>
            <w:tcW w:type="dxa" w:w="3118"/>
          </w:tcPr>
          <w:p>
            <w:r>
              <w:t>В evidence есть функциональные тесты и coverage; performance claim не подтверждён.</w:t>
            </w:r>
          </w:p>
        </w:tc>
        <w:tc>
          <w:tcPr>
            <w:tcW w:type="dxa" w:w="3118"/>
          </w:tcPr>
          <w:p>
            <w:r>
              <w:t>Команду, среду, dataset, число повторов, метрики и журнал benchmark либо честное ограничение «не измерялось».</w:t>
            </w:r>
          </w:p>
        </w:tc>
      </w:tr>
      <w:tr>
        <w:tc>
          <w:tcPr>
            <w:tcW w:type="dxa" w:w="3118"/>
          </w:tcPr>
          <w:p>
            <w:r>
              <w:t>Как организована миграция схемы БД и rollback?</w:t>
            </w:r>
          </w:p>
        </w:tc>
        <w:tc>
          <w:tcPr>
            <w:tcW w:type="dxa" w:w="3118"/>
          </w:tcPr>
          <w:p>
            <w:r>
              <w:t>В PR31–40 нет migration/seed-файлов Никиты; Intake-пакет не включает durable DB.</w:t>
            </w:r>
          </w:p>
        </w:tc>
        <w:tc>
          <w:tcPr>
            <w:tcW w:type="dxa" w:w="3118"/>
          </w:tcPr>
          <w:p>
            <w:r>
              <w:t>Показать владельца схемы, migration plan и rollback, либо явно исключить эту ответственность из вклада.</w:t>
            </w:r>
          </w:p>
        </w:tc>
      </w:tr>
    </w:tbl>
    <w:p>
      <w:r>
        <w:t>Подпись ревьюера: Дмитрий Стацюк, участник команды HitPipe. Дата: 19.10.2026. Формат: самостоятельное документальное ревью и симуляция внешних вопросов; реальное оппонирование/защита не заявлены.</w:t>
      </w:r>
    </w:p>
    <w:p>
      <w:r>
        <w:t>Итоговое решение по полному ревью Никиты: на доработку. Подтверждён сильный локальный вклад в Intake/StripeSignature, тестирование, mutation evidence, документацию и CI-маршрут. Не подтверждены общий вклад в HIT-8, личные эксперименты NATS/Kafka, Docker/БД-инфраструктура и code review коллег. Статус не является оценкой преподавателя и не означает merge или formal acceptance.</w:t>
      </w:r>
    </w:p>
    <w:p w:rsidR="00D73871" w:rsidRDefault="00181D04">
      <w:pPr>
        <w:pStyle w:val="af7"/>
      </w:pPr>
      <w:r>
        <w:t>4 Проверка результатов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W w:type="dxa" w:w="9000"/>
        <w:tblLayout w:type="autofit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fill="EDEDED" w:val="clear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pPr>
              <w:spacing w:before="0" w:after="20" w:line="240" w:lineRule="auto"/>
              <w:jc w:val="center"/>
            </w:pPr>
            <w:r>
              <w:t>[МЕСТО ДЛЯ СКРИНШОТА 3 — Оппонирование другого проекта и принятое решение]</w:t>
            </w:r>
          </w:p>
        </w:tc>
      </w:tr>
    </w:tbl>
    <w:p>
      <w:pPr>
        <w:spacing w:before="40" w:after="160"/>
        <w:jc w:val="center"/>
      </w:pPr>
      <w:r>
        <w:t>Рисунок 3 — Оппонирование другого проекта и принятое решение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76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Предмет проверки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Способ и условия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результат</w:t>
            </w:r>
          </w:p>
        </w:tc>
        <w:tc>
          <w:tcPr>
            <w:tcW w:w="2294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Версия и доказательство</w:t>
            </w:r>
          </w:p>
        </w:tc>
        <w:tc>
          <w:tcPr>
            <w:tcW w:w="176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Security and provenance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Strict JSON/handoff and target/provenance guards; no provider access or secrets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PASS local tests/vet/race; hidden/live authority not claimed; security-baseline.md</w:t>
            </w:r>
          </w:p>
        </w:tc>
        <w:tc>
          <w:tcPr>
            <w:tcW w:w="2294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bafc97a0eb5cc2b2aba68c04a74b179b61432d82</w:t>
            </w:r>
          </w:p>
        </w:tc>
        <w:tc>
          <w:tcPr>
            <w:tcW w:w="176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Candidate offline slice; no live provider or acceptance claim</w:t>
            </w:r>
          </w:p>
        </w:tc>
      </w:tr>
    </w:tbl>
    <w:p w:rsidR="00D73871" w:rsidRDefault="00D73871">
      <w:pPr>
        <w:spacing w:after="60" w:line="240" w:lineRule="auto"/>
      </w:pPr>
      <w:r/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Другому студенту передаётся зафиксированный текст, без устных пояснений автора. Проверяющий самостоятельно определяет ожидаемые исходы нескольких ситуаций, включая ошибочную. Записать фактические ответы, сравнение и внесённые уточнения; self-review агента не заменяет эту проверку.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rPr>
          <w:tblHeader w:val="true"/>
        </w:trPr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Требование и ситуация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Ожидаемый по тексту исход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Фактический ответ другого студента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Проверяющий, дата, версия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Расхождение и исправление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HIT-42 TargetReadback refinement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typed outcome and explicit reason; no ResultVerified on unknown/incomplete/mismatch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Результат фиксируется в журнале проверки.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Дмитрий Стацюк; 2026-10-19; bafc97a0eb5cc2b2aba68c04a74b179b61432d82</w:t>
            </w:r>
          </w:p>
        </w:tc>
        <w:tc>
          <w:tcPr>
            <w:tcW w:type="dxa" w:w="187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Use exact comparison with typed mismatch/incomplete/unknown outcomes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>Указать зафиксированную спецификацию 1.0, полный MVP/резерв и автора фиксации; связь участка с основным сценарием. Для собственного значимого изменения показать цепочку задача → ветка → PR → применимые автоматические проверки → реальный независимый review → merge. Перечислить выполненные пункты DoD; не выдавать ещё открытый PR за слитый.</w:t>
      </w:r>
    </w:p>
    <w:p w:rsidR="00D73871" w:rsidRDefault="00181D04">
      <w:r>
        <w:t>Будущие проверки: live-права провайдера, интеграционный сценарий и человеческая приёмка после доступности соответствующего окружения.</w:t>
      </w:r>
    </w:p>
    <w:p w:rsidR="00D73871" w:rsidRDefault="00181D04">
      <w:r>
        <w:t>Скриншоты фактически проведённых проверок размещаются после таблицы с подписями и ссылками из соответствующих строк. На снимке терминала должны быть видны команда, условия запуска, существенный вывод и код завершения; на снимке CI — SHA, задания и итог. Снимок заменяет заглушку подтверждения или повторение журнала, но краткий фактический результат, версия и ссылка остаются текстом. Если действие не выполнялось, указываются причина и план без имитации результата. Примеры состава снимков приведены на рисунках А.3–А.5 приложения А методических указаний.</w:t>
      </w:r>
    </w:p>
    <w:p w:rsidR="00D73871" w:rsidRDefault="00181D04">
      <w:pPr>
        <w:pStyle w:val="af7"/>
      </w:pPr>
      <w:r>
        <w:t>5 Индивидуальный вклад и взаимодействие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368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Выполненные действия</w:t>
            </w:r>
          </w:p>
        </w:tc>
        <w:tc>
          <w:tcPr>
            <w:tcW w:w="2835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Technical result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R1 desk research and questions separated; FR/NFR/AC traced; human interview and opposition remain отдельная учебная процедура</w:t>
            </w:r>
          </w:p>
        </w:tc>
        <w:tc>
          <w:tcPr>
            <w:tcW w:w="2835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requirements.md, requirements-trace.json, security-baseline.md, PR29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Общие материалы и результаты других участников: требования проекта, PR #29, CI-запуски и независимое воспроизведение части другого студента приведены по прямым ссылкам в отчёте.</w:t>
      </w:r>
    </w:p>
    <w:p w:rsidR="00D73871" w:rsidRDefault="00181D04">
      <w:pPr>
        <w:pStyle w:val="af9"/>
      </w:pPr>
      <w:r>
        <w:t>ЗАКЛЮЧЕНИЕ</w:t>
      </w:r>
    </w:p>
    <w:p w:rsidR="00D73871" w:rsidRDefault="00181D04">
      <w:r>
        <w:t>Вывод: требования и риски сопоставлены с реализацией и тестами; offline-проверки выполнены, ограничения явно зафиксированы.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Поле</w:t>
            </w:r>
          </w:p>
        </w:tc>
        <w:tc>
          <w:tcPr>
            <w:tcW w:w="4677" w:type="dxa"/>
            <w:shd w:val="clear" w:color="auto" w:fill="F2F2F2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Работа и автор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МДК.03.02, ПЗ №1, Дмитрий Стацюк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Tag → commit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не создан — human/Lead gate; source bafc97a0eb5cc2b2aba68c04a74b179b61432d82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Материалы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requirements.md; requirements-trace.json; security-baseline.md; interview.md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Задачи и MR/PR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HIT-41–48; correction PR #29; no merge/Done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Pipeline и применимые проверки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go test/vet/race, smoke and CI evidence linked in evidence/index.json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keepNext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Оппонирование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отдельная учебная процедура — real interview/opposition/clarity reviewer required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  <w:vAlign w:val="center"/>
          </w:tcPr>
          <w:p w:rsidR="00D73871" w:rsidRDefault="00181D04">
            <w:pPr>
              <w:pStyle w:val="ae"/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Ограничения</w:t>
            </w:r>
          </w:p>
        </w:tc>
        <w:tc>
          <w:tcPr>
            <w:tcW w:w="4677" w:type="dxa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sz w:val="22"/>
              </w:rPr>
              <w:t>Candidate/In Review; no acceptance or personal signature inferred</w:t>
            </w:r>
          </w:p>
        </w:tc>
      </w:tr>
    </w:tbl>
    <w:p w:rsidR="00D73871" w:rsidRDefault="00D73871">
      <w:pPr>
        <w:spacing w:after="60" w:line="240" w:lineRule="auto"/>
      </w:pPr>
      <w:r/>
    </w:p>
    <w:p w:rsidR="00D73871" w:rsidRDefault="00181D04">
      <w:r>
        <w:t>Если отчёт включён в сам сдаваемый commit, итоговый SHA и pipeline указать в сопровождающей записи системы сдачи после создания тега, не создавая новый commit только ради его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Список источников приведён ниже и содержит методические материалы, официальную документацию и материалы проекта.</w:t>
      </w:r>
    </w:p>
    <w:p>
      <w:pPr>
        <w:pStyle w:val="1"/>
      </w:pPr>
      <w:r>
        <w:t>ИСТОЧНИКИ И ИНСТРУКЦИИ ДЛЯ СКРИНШОТОВ</w:t>
      </w:r>
    </w:p>
    <w:p>
      <w:r>
        <w:t>Список источников оформлен по ГОСТ Р 7.0.100–2018. Электронные материалы приведены с адресом и датой обращения.</w:t>
      </w:r>
    </w:p>
    <w:p>
      <w:r>
        <w:t>1. ГОСТ 7.32–2017. Межгосударственный стандарт. Система стандартов по информации, библиотечному и издательскому делу. Отчёт о научно-исследовательской работе. Структура и правила оформления. — Москва: Стандартинформ, 2018.</w:t>
      </w:r>
    </w:p>
    <w:p>
      <w:r>
        <w:t>2. ГОСТ Р 7.0.100–2018. Национальный стандарт Российской Федерации. Библиографическая запись. Библиографическое описание. Общие требования и правила составления. — Москва: Стандартинформ, 2018.</w:t>
      </w:r>
    </w:p>
    <w:p>
      <w:r>
        <w:t>3. The Go Programming Language. Documentation [Электронный ресурс]. — URL: https://go.dev/doc/ (дата обращения: 19.10.2026).</w:t>
      </w:r>
    </w:p>
    <w:p>
      <w:r>
        <w:t>4. The Go Programming Language. Go Modules Reference [Электронный ресурс]. — URL: https://go.dev/ref/mod (дата обращения: 19.10.2026).</w:t>
      </w:r>
    </w:p>
    <w:p>
      <w:r>
        <w:t>5. GCC Online Documentation. Using the GNU Compiler Collection [Электронный ресурс]. — URL: https://gcc.gnu.org/onlinedocs/ (дата обращения: 19.10.2026).</w:t>
      </w:r>
    </w:p>
    <w:p>
      <w:r>
        <w:t>6. GitHub Docs. About pull requests [Электронный ресурс]. — URL: https://docs.github.com/en/pull-requests/collaborating-with-pull-requests/about-pull-requests (дата обращения: 19.10.2026).</w:t>
      </w:r>
    </w:p>
    <w:p>
      <w:r>
        <w:t>7. HitPipe. Репозиторий проекта hitpipe/hitpipe [Электронный ресурс]. — URL: https://github.com/hitpipe/hitpipe (дата обращения: 19.10.2026).</w:t>
      </w:r>
    </w:p>
    <w:p>
      <w:r>
        <w:t>8. HitPipe. Файл README.md репозитория hitpipe/hitpipe [Электронный ресурс]. — URL: https://github.com/hitpipe/hitpipe/blob/main/README.md (дата обращения: 19.10.2026).</w:t>
      </w:r>
    </w:p>
    <w:p>
      <w:pPr>
        <w:pStyle w:val="2"/>
      </w:pPr>
      <w:r>
        <w:t>Откуда взять нужные скриншоты</w:t>
      </w:r>
    </w:p>
    <w:p>
      <w:r>
        <w:t>Скриншоты в этот файл не вставлены. Перед сдачей вставьте каждый снимок вместо соответствующего серого блока с тем же номером. На снимке должны быть видны название действия, команда или страница, итог проверки и дата. Не показывайте пароли, токены, личную переписку и содержимое папок вне проекта.</w:t>
      </w:r>
    </w:p>
    <w:p>
      <w:r>
        <w:t>Рисунок 1. Шаг 1: откройте https://hitpipe.atlassian.net/browse/HIT-47. Шаг 2: снимите верхнюю часть страницы с названием задачи и статусом. Шаг 3: в новой вкладке откройте https://github.com/hitpipe/hitpipe/pull/29 и снимите заголовок PR и его статус. Шаг 4: объедините два фрагмента рядом в одном рисунке. Сохраните как 0302-pz01-fig01.png. Подпись: «Требование, задача и запрос на слияние».</w:t>
      </w:r>
    </w:p>
    <w:p>
      <w:r>
        <w:t>Рисунок 2. Шаг 1: откройте PowerShell. Шаг 2: выполните Set-Location C:\projects\hitpipe\services\delivery. Шаг 3: выполните go test ./... . Шаг 4: выполните go vet ./... . Шаг 5: убедитесь, что команды завершились без ошибок и имеют exit code 0. Снимите обе команды и итоговый вывод. Сохраните как 0302-pz01-fig02.png. Подпись: «Автоматические проверки изменения требований».</w:t>
      </w:r>
    </w:p>
    <w:p>
      <w:r>
        <w:t>Рисунок 3. Пошагово: 1) откройте вкладку Files changed по ссылке https://github.com/hitpipe/hitpipe/pull/29/files. 2) В списке файлов выберите services/delivery/internal/domain/readback/fixtures.go. 3) Перейдите к комментарию ревью по якорю https://github.com/hitpipe/hitpipe/pull/29#discussion_r4315518979; в нём видны метка DS-REV-003, проблема с duplicate/escaped keys и требование проверить exact keys и обязательный EOF. 4) Для принятого решения откройте сводку ревью https://github.com/hitpipe/hitpipe/pull/29#pullrequestreview-5573707339 и оставьте в кадре текст решения CHANGES REQUESTED. 5) Кадрируйте снимок так, чтобы были видны путь файла, метка замечания, краткое содержание проблемы и статус решения, но не были видны имя и аватар пользователя, адрес электронной почты и личная переписка. Не включайте список всех файлов и лишние комментарии. Если всё не помещается, сделайте два последовательных снимка: 0302-pz01-fig03-1.png — файл и замечание; 0302-pz01-fig03-2.png — статус CHANGES REQUESTED. Подпись: «Оппонирование другого проекта и принятое решение».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